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b/>
          <w:bCs/>
        </w:rPr>
      </w:pPr>
      <w:r>
        <w:rPr>
          <w:rFonts w:hint="eastAsia" w:ascii="方正小标宋简体" w:hAnsi="方正小标宋简体" w:eastAsia="方正小标宋简体" w:cs="方正小标宋简体"/>
          <w:b/>
          <w:bCs/>
          <w:color w:val="000000"/>
          <w:kern w:val="0"/>
          <w:sz w:val="44"/>
          <w:szCs w:val="44"/>
        </w:rPr>
        <w:t>广州市老人院2025年检验外送服务采购项目采购公告</w:t>
      </w:r>
    </w:p>
    <w:p>
      <w:pPr>
        <w:spacing w:before="156" w:beforeLines="50"/>
        <w:ind w:firstLine="0" w:firstLineChars="0"/>
        <w:rPr>
          <w:b/>
          <w:bCs/>
        </w:rPr>
      </w:pPr>
    </w:p>
    <w:p>
      <w:pPr>
        <w:spacing w:before="156" w:beforeLines="50"/>
        <w:rPr>
          <w:b/>
          <w:bCs/>
        </w:rPr>
      </w:pPr>
      <w:r>
        <w:rPr>
          <w:rFonts w:hint="eastAsia"/>
          <w:b/>
          <w:bCs/>
        </w:rPr>
        <w:t>一、项目概况</w:t>
      </w:r>
    </w:p>
    <w:p>
      <w:pPr>
        <w:pStyle w:val="18"/>
        <w:spacing w:line="560" w:lineRule="exact"/>
      </w:pPr>
      <w:r>
        <w:rPr>
          <w:rFonts w:hint="eastAsia"/>
        </w:rPr>
        <w:t>广州市老人院现需采购检验外送服务，拟通过比选的方式选定一家服务商，欢迎符合报名资格的服务商参与比选。</w:t>
      </w:r>
    </w:p>
    <w:p>
      <w:pPr>
        <w:spacing w:before="156" w:beforeLines="50"/>
        <w:rPr>
          <w:b/>
          <w:bCs/>
        </w:rPr>
      </w:pPr>
      <w:r>
        <w:rPr>
          <w:rFonts w:hint="eastAsia"/>
          <w:b/>
          <w:bCs/>
        </w:rPr>
        <w:t>二、项目基本情况</w:t>
      </w:r>
    </w:p>
    <w:p>
      <w:pPr>
        <w:spacing w:before="156" w:beforeLines="50"/>
        <w:ind w:firstLine="420" w:firstLineChars="200"/>
      </w:pPr>
      <w:r>
        <w:rPr>
          <w:rFonts w:hint="eastAsia"/>
        </w:rPr>
        <w:t>项目名称：广州市老人院2025年检验外送服务采购项目</w:t>
      </w:r>
    </w:p>
    <w:p>
      <w:pPr>
        <w:spacing w:before="156" w:beforeLines="50"/>
        <w:ind w:firstLine="420" w:firstLineChars="200"/>
        <w:rPr>
          <w:szCs w:val="21"/>
        </w:rPr>
      </w:pPr>
      <w:r>
        <w:rPr>
          <w:rFonts w:hint="eastAsia"/>
          <w:szCs w:val="21"/>
        </w:rPr>
        <w:t>项目编号：2025-</w:t>
      </w:r>
      <w:r>
        <w:rPr>
          <w:rFonts w:hint="eastAsia"/>
          <w:szCs w:val="21"/>
          <w:lang w:val="en-US" w:eastAsia="zh-CN"/>
        </w:rPr>
        <w:t>003</w:t>
      </w:r>
      <w:r>
        <w:rPr>
          <w:rFonts w:hint="eastAsia"/>
          <w:szCs w:val="21"/>
        </w:rPr>
        <w:t>A</w:t>
      </w:r>
    </w:p>
    <w:p>
      <w:pPr>
        <w:spacing w:before="156" w:beforeLines="50"/>
        <w:ind w:firstLine="420" w:firstLineChars="200"/>
        <w:rPr>
          <w:szCs w:val="21"/>
        </w:rPr>
      </w:pPr>
      <w:r>
        <w:rPr>
          <w:rFonts w:hint="eastAsia"/>
          <w:szCs w:val="21"/>
        </w:rPr>
        <w:t>预算金额：人民币35万元</w:t>
      </w:r>
    </w:p>
    <w:p>
      <w:pPr>
        <w:spacing w:before="156" w:beforeLines="50"/>
        <w:ind w:firstLine="420" w:firstLineChars="200"/>
        <w:rPr>
          <w:szCs w:val="21"/>
        </w:rPr>
      </w:pPr>
      <w:r>
        <w:rPr>
          <w:rFonts w:hint="eastAsia"/>
          <w:szCs w:val="21"/>
        </w:rPr>
        <w:t>采购方式：院内比选</w:t>
      </w:r>
    </w:p>
    <w:p>
      <w:pPr>
        <w:spacing w:before="156" w:beforeLines="50"/>
        <w:rPr>
          <w:b/>
          <w:bCs/>
        </w:rPr>
      </w:pPr>
      <w:r>
        <w:rPr>
          <w:rFonts w:hint="eastAsia"/>
          <w:b/>
          <w:bCs/>
        </w:rPr>
        <w:t>三、采购需求</w:t>
      </w:r>
    </w:p>
    <w:tbl>
      <w:tblPr>
        <w:tblStyle w:val="13"/>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423"/>
        <w:gridCol w:w="1122"/>
        <w:gridCol w:w="1069"/>
        <w:gridCol w:w="2078"/>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23" w:type="dxa"/>
            <w:vAlign w:val="center"/>
          </w:tcPr>
          <w:p>
            <w:pPr>
              <w:pStyle w:val="19"/>
              <w:snapToGrid w:val="0"/>
              <w:spacing w:before="156" w:beforeLines="50" w:line="360" w:lineRule="auto"/>
              <w:jc w:val="center"/>
              <w:rPr>
                <w:szCs w:val="21"/>
              </w:rPr>
            </w:pPr>
            <w:r>
              <w:rPr>
                <w:rFonts w:hint="eastAsia"/>
                <w:b/>
                <w:color w:val="000000"/>
                <w:szCs w:val="21"/>
                <w:lang w:val="en-US"/>
              </w:rPr>
              <w:t>品目号</w:t>
            </w:r>
          </w:p>
        </w:tc>
        <w:tc>
          <w:tcPr>
            <w:tcW w:w="1423" w:type="dxa"/>
            <w:vAlign w:val="center"/>
          </w:tcPr>
          <w:p>
            <w:pPr>
              <w:pStyle w:val="19"/>
              <w:snapToGrid w:val="0"/>
              <w:spacing w:before="156" w:beforeLines="50" w:line="360" w:lineRule="auto"/>
              <w:jc w:val="center"/>
              <w:rPr>
                <w:szCs w:val="21"/>
              </w:rPr>
            </w:pPr>
            <w:r>
              <w:rPr>
                <w:rFonts w:hint="eastAsia"/>
                <w:b/>
                <w:color w:val="000000"/>
                <w:szCs w:val="21"/>
              </w:rPr>
              <w:t>品目名称</w:t>
            </w:r>
          </w:p>
        </w:tc>
        <w:tc>
          <w:tcPr>
            <w:tcW w:w="1122" w:type="dxa"/>
            <w:vAlign w:val="center"/>
          </w:tcPr>
          <w:p>
            <w:pPr>
              <w:pStyle w:val="19"/>
              <w:snapToGrid w:val="0"/>
              <w:spacing w:before="156" w:beforeLines="50" w:line="360" w:lineRule="auto"/>
              <w:ind w:right="165"/>
              <w:jc w:val="center"/>
              <w:rPr>
                <w:szCs w:val="21"/>
              </w:rPr>
            </w:pPr>
            <w:r>
              <w:rPr>
                <w:rFonts w:hint="eastAsia"/>
                <w:b/>
                <w:color w:val="000000"/>
                <w:szCs w:val="21"/>
              </w:rPr>
              <w:t>采购标的</w:t>
            </w:r>
          </w:p>
        </w:tc>
        <w:tc>
          <w:tcPr>
            <w:tcW w:w="1069" w:type="dxa"/>
            <w:vAlign w:val="center"/>
          </w:tcPr>
          <w:p>
            <w:pPr>
              <w:pStyle w:val="19"/>
              <w:snapToGrid w:val="0"/>
              <w:spacing w:before="156" w:beforeLines="50" w:line="360" w:lineRule="auto"/>
              <w:ind w:right="-91"/>
              <w:jc w:val="center"/>
              <w:rPr>
                <w:szCs w:val="21"/>
              </w:rPr>
            </w:pPr>
            <w:r>
              <w:rPr>
                <w:rFonts w:hint="eastAsia"/>
                <w:b/>
                <w:color w:val="000000"/>
                <w:szCs w:val="21"/>
              </w:rPr>
              <w:t>数量（单位）</w:t>
            </w:r>
          </w:p>
        </w:tc>
        <w:tc>
          <w:tcPr>
            <w:tcW w:w="2078" w:type="dxa"/>
            <w:vAlign w:val="center"/>
          </w:tcPr>
          <w:p>
            <w:pPr>
              <w:pStyle w:val="19"/>
              <w:snapToGrid w:val="0"/>
              <w:spacing w:before="156" w:beforeLines="50" w:line="360" w:lineRule="auto"/>
              <w:ind w:right="148"/>
              <w:jc w:val="center"/>
              <w:rPr>
                <w:szCs w:val="21"/>
              </w:rPr>
            </w:pPr>
            <w:r>
              <w:rPr>
                <w:rFonts w:hint="eastAsia"/>
                <w:b/>
                <w:color w:val="000000"/>
                <w:szCs w:val="21"/>
              </w:rPr>
              <w:t>技术规格、参数及要求</w:t>
            </w:r>
          </w:p>
        </w:tc>
        <w:tc>
          <w:tcPr>
            <w:tcW w:w="1424" w:type="dxa"/>
            <w:vAlign w:val="center"/>
          </w:tcPr>
          <w:p>
            <w:pPr>
              <w:pStyle w:val="19"/>
              <w:snapToGrid w:val="0"/>
              <w:spacing w:before="156" w:beforeLines="50" w:line="360" w:lineRule="auto"/>
              <w:ind w:right="185"/>
              <w:jc w:val="center"/>
              <w:rPr>
                <w:szCs w:val="21"/>
                <w:lang w:val="en-US"/>
              </w:rPr>
            </w:pPr>
            <w:r>
              <w:rPr>
                <w:rFonts w:hint="eastAsia"/>
                <w:b/>
                <w:color w:val="000000"/>
                <w:szCs w:val="21"/>
              </w:rPr>
              <w:t>品目预</w:t>
            </w:r>
            <w:r>
              <w:rPr>
                <w:rFonts w:hint="eastAsia"/>
                <w:b/>
                <w:color w:val="000000"/>
                <w:w w:val="105"/>
                <w:szCs w:val="21"/>
              </w:rPr>
              <w:t>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vAlign w:val="center"/>
          </w:tcPr>
          <w:p>
            <w:pPr>
              <w:snapToGrid w:val="0"/>
              <w:spacing w:line="360" w:lineRule="auto"/>
              <w:jc w:val="center"/>
              <w:rPr>
                <w:szCs w:val="21"/>
              </w:rPr>
            </w:pPr>
            <w:r>
              <w:rPr>
                <w:b/>
                <w:bCs/>
                <w:i w:val="0"/>
                <w:iCs w:val="0"/>
                <w:color w:val="000000"/>
                <w:szCs w:val="21"/>
              </w:rPr>
              <w:t>C04019900</w:t>
            </w:r>
          </w:p>
        </w:tc>
        <w:tc>
          <w:tcPr>
            <w:tcW w:w="1423" w:type="dxa"/>
            <w:vAlign w:val="center"/>
          </w:tcPr>
          <w:p>
            <w:pPr>
              <w:pStyle w:val="12"/>
              <w:snapToGrid w:val="0"/>
              <w:spacing w:line="360" w:lineRule="auto"/>
              <w:ind w:firstLine="0" w:firstLineChars="0"/>
              <w:jc w:val="center"/>
              <w:rPr>
                <w:rFonts w:hint="default" w:ascii="Times New Roman" w:hAnsi="Times New Roman" w:eastAsia="宋体"/>
                <w:b/>
                <w:bCs/>
                <w:i w:val="0"/>
                <w:iCs w:val="0"/>
                <w:color w:val="000000"/>
                <w:sz w:val="21"/>
                <w:szCs w:val="21"/>
                <w:lang w:val="en-US" w:bidi="ar-SA"/>
              </w:rPr>
            </w:pPr>
            <w:r>
              <w:rPr>
                <w:rFonts w:hint="default" w:ascii="Times New Roman" w:hAnsi="Times New Roman" w:eastAsia="宋体"/>
                <w:b/>
                <w:bCs/>
                <w:i w:val="0"/>
                <w:iCs w:val="0"/>
                <w:color w:val="000000"/>
                <w:sz w:val="21"/>
                <w:szCs w:val="21"/>
                <w:lang w:val="en-US" w:bidi="ar-SA"/>
              </w:rPr>
              <w:t>其他医院服务</w:t>
            </w:r>
          </w:p>
        </w:tc>
        <w:tc>
          <w:tcPr>
            <w:tcW w:w="1122" w:type="dxa"/>
            <w:vAlign w:val="center"/>
          </w:tcPr>
          <w:p>
            <w:pPr>
              <w:pStyle w:val="12"/>
              <w:snapToGrid w:val="0"/>
              <w:spacing w:line="360" w:lineRule="auto"/>
              <w:ind w:firstLine="0" w:firstLineChars="0"/>
              <w:jc w:val="center"/>
              <w:rPr>
                <w:rFonts w:hint="default" w:ascii="Times New Roman" w:hAnsi="Times New Roman" w:eastAsia="宋体"/>
                <w:b/>
                <w:bCs/>
                <w:color w:val="000000"/>
                <w:sz w:val="21"/>
                <w:szCs w:val="21"/>
                <w:lang w:val="en-US" w:bidi="ar-SA"/>
              </w:rPr>
            </w:pPr>
            <w:r>
              <w:rPr>
                <w:rFonts w:hint="default" w:ascii="Times New Roman" w:hAnsi="Times New Roman" w:eastAsia="宋体"/>
                <w:b/>
                <w:bCs/>
                <w:i w:val="0"/>
                <w:iCs w:val="0"/>
                <w:color w:val="000000"/>
                <w:sz w:val="21"/>
                <w:szCs w:val="21"/>
                <w:lang w:val="en-US" w:bidi="ar-SA"/>
              </w:rPr>
              <w:t>检验外送服务采购项目</w:t>
            </w:r>
          </w:p>
        </w:tc>
        <w:tc>
          <w:tcPr>
            <w:tcW w:w="1069" w:type="dxa"/>
            <w:vAlign w:val="center"/>
          </w:tcPr>
          <w:p>
            <w:pPr>
              <w:pStyle w:val="12"/>
              <w:snapToGrid w:val="0"/>
              <w:spacing w:line="360" w:lineRule="auto"/>
              <w:ind w:firstLine="0" w:firstLineChars="0"/>
              <w:jc w:val="center"/>
              <w:rPr>
                <w:rFonts w:hint="default" w:ascii="Times New Roman" w:hAnsi="Times New Roman" w:eastAsia="宋体"/>
                <w:b/>
                <w:bCs/>
                <w:i w:val="0"/>
                <w:iCs w:val="0"/>
                <w:color w:val="000000"/>
                <w:sz w:val="21"/>
                <w:szCs w:val="21"/>
                <w:lang w:val="en-US" w:bidi="ar-SA"/>
              </w:rPr>
            </w:pPr>
            <w:r>
              <w:rPr>
                <w:rFonts w:hint="default" w:ascii="Times New Roman" w:hAnsi="Times New Roman" w:eastAsia="宋体"/>
                <w:b/>
                <w:bCs/>
                <w:i w:val="0"/>
                <w:iCs w:val="0"/>
                <w:color w:val="000000"/>
                <w:sz w:val="21"/>
                <w:szCs w:val="21"/>
                <w:lang w:val="en-US" w:bidi="ar-SA"/>
              </w:rPr>
              <w:t>1项</w:t>
            </w:r>
          </w:p>
        </w:tc>
        <w:tc>
          <w:tcPr>
            <w:tcW w:w="2078" w:type="dxa"/>
            <w:vAlign w:val="center"/>
          </w:tcPr>
          <w:p>
            <w:pPr>
              <w:pStyle w:val="12"/>
              <w:snapToGrid w:val="0"/>
              <w:spacing w:line="360" w:lineRule="auto"/>
              <w:ind w:firstLine="0" w:firstLineChars="0"/>
              <w:jc w:val="center"/>
              <w:rPr>
                <w:rFonts w:hint="default" w:ascii="Times New Roman" w:hAnsi="Times New Roman" w:eastAsia="宋体"/>
                <w:b/>
                <w:bCs/>
                <w:i w:val="0"/>
                <w:iCs w:val="0"/>
                <w:color w:val="000000"/>
                <w:sz w:val="21"/>
                <w:szCs w:val="21"/>
                <w:lang w:val="en-US" w:bidi="ar-SA"/>
              </w:rPr>
            </w:pPr>
            <w:r>
              <w:rPr>
                <w:rFonts w:hint="default" w:ascii="Times New Roman" w:hAnsi="Times New Roman" w:eastAsia="宋体"/>
                <w:b/>
                <w:bCs/>
                <w:i w:val="0"/>
                <w:iCs w:val="0"/>
                <w:color w:val="000000"/>
                <w:sz w:val="21"/>
                <w:szCs w:val="21"/>
                <w:lang w:val="en-US" w:bidi="ar-SA"/>
              </w:rPr>
              <w:t>详见采购方案第三条</w:t>
            </w:r>
          </w:p>
        </w:tc>
        <w:tc>
          <w:tcPr>
            <w:tcW w:w="1424" w:type="dxa"/>
            <w:vAlign w:val="center"/>
          </w:tcPr>
          <w:p>
            <w:pPr>
              <w:pStyle w:val="12"/>
              <w:snapToGrid w:val="0"/>
              <w:spacing w:line="360" w:lineRule="auto"/>
              <w:ind w:firstLine="0" w:firstLineChars="0"/>
              <w:jc w:val="center"/>
              <w:rPr>
                <w:rFonts w:hint="default" w:ascii="Times New Roman" w:hAnsi="Times New Roman" w:eastAsia="宋体"/>
                <w:b/>
                <w:bCs/>
                <w:color w:val="000000"/>
                <w:sz w:val="21"/>
                <w:szCs w:val="21"/>
                <w:lang w:val="en-US" w:bidi="ar-SA"/>
              </w:rPr>
            </w:pPr>
            <w:r>
              <w:rPr>
                <w:rFonts w:hint="default" w:ascii="Times New Roman" w:hAnsi="Times New Roman" w:eastAsia="宋体"/>
                <w:b/>
                <w:bCs/>
                <w:i w:val="0"/>
                <w:iCs w:val="0"/>
                <w:color w:val="000000"/>
                <w:sz w:val="21"/>
                <w:szCs w:val="21"/>
                <w:lang w:val="en-US" w:bidi="ar-SA"/>
              </w:rPr>
              <w:t>人民币35万元</w:t>
            </w:r>
          </w:p>
        </w:tc>
      </w:tr>
    </w:tbl>
    <w:p>
      <w:pPr>
        <w:widowControl/>
        <w:tabs>
          <w:tab w:val="left" w:pos="0"/>
          <w:tab w:val="left" w:pos="851"/>
        </w:tabs>
        <w:autoSpaceDE w:val="0"/>
        <w:autoSpaceDN w:val="0"/>
        <w:adjustRightInd w:val="0"/>
        <w:snapToGrid w:val="0"/>
        <w:spacing w:line="360" w:lineRule="auto"/>
        <w:ind w:firstLine="420" w:firstLineChars="200"/>
        <w:outlineLvl w:val="2"/>
        <w:rPr>
          <w:szCs w:val="24"/>
          <w:lang w:bidi="zh-CN"/>
        </w:rPr>
      </w:pPr>
      <w:r>
        <w:rPr>
          <w:szCs w:val="24"/>
          <w:lang w:bidi="zh-CN"/>
        </w:rPr>
        <w:t>★1.对本项目所有检验项目清单提供统一的折扣，折扣应不大于35%。</w:t>
      </w:r>
      <w:r>
        <w:rPr>
          <w:szCs w:val="24"/>
        </w:rPr>
        <w:t>响应供应商只需要报折扣，不需要报出总价。</w:t>
      </w:r>
    </w:p>
    <w:p>
      <w:pPr>
        <w:tabs>
          <w:tab w:val="left" w:pos="0"/>
          <w:tab w:val="left" w:pos="851"/>
        </w:tabs>
        <w:autoSpaceDE w:val="0"/>
        <w:autoSpaceDN w:val="0"/>
        <w:adjustRightInd w:val="0"/>
        <w:snapToGrid w:val="0"/>
        <w:spacing w:line="360" w:lineRule="auto"/>
        <w:ind w:firstLine="420" w:firstLineChars="200"/>
        <w:outlineLvl w:val="2"/>
        <w:rPr>
          <w:szCs w:val="24"/>
        </w:rPr>
      </w:pPr>
      <w:r>
        <w:rPr>
          <w:szCs w:val="24"/>
          <w:lang w:bidi="zh-CN"/>
        </w:rPr>
        <w:t>2.检验项目收费按照最新的《广州地区公立医疗机构基本医疗服务价格目录》为依据</w:t>
      </w:r>
      <w:r>
        <w:rPr>
          <w:szCs w:val="24"/>
        </w:rPr>
        <w:t>。</w:t>
      </w:r>
    </w:p>
    <w:p>
      <w:pPr>
        <w:tabs>
          <w:tab w:val="left" w:pos="0"/>
          <w:tab w:val="left" w:pos="851"/>
        </w:tabs>
        <w:autoSpaceDE w:val="0"/>
        <w:autoSpaceDN w:val="0"/>
        <w:adjustRightInd w:val="0"/>
        <w:snapToGrid w:val="0"/>
        <w:spacing w:line="360" w:lineRule="auto"/>
        <w:ind w:firstLine="420" w:firstLineChars="200"/>
        <w:outlineLvl w:val="2"/>
        <w:rPr>
          <w:color w:val="000000"/>
          <w:sz w:val="24"/>
          <w:szCs w:val="24"/>
        </w:rPr>
      </w:pPr>
      <w:r>
        <w:rPr>
          <w:szCs w:val="24"/>
        </w:rPr>
        <w:t>3.本项目暂定总价等于采购预算金额，即合同暂定总价（采购预算金额）为：35万元，实际的检测费用以最终检测数量为准，按照实际检测数量结算。包括但不限于：完成本次</w:t>
      </w:r>
      <w:r>
        <w:rPr>
          <w:rFonts w:hint="eastAsia"/>
          <w:szCs w:val="24"/>
          <w:lang w:eastAsia="zh-CN"/>
        </w:rPr>
        <w:t>比选</w:t>
      </w:r>
      <w:r>
        <w:rPr>
          <w:szCs w:val="24"/>
        </w:rPr>
        <w:t>所有服务内容的费用，包括人工费、检验费、材料费、设备使用费、LIS/HIS对接费用、运输费、各种税务费、必须的辅助材料费如条形码、采样管、标本接收袋、采集拭子等及合同实施过程中不可预见费用等全部费用。</w:t>
      </w:r>
    </w:p>
    <w:p>
      <w:pPr>
        <w:snapToGrid w:val="0"/>
        <w:spacing w:line="360" w:lineRule="auto"/>
        <w:ind w:firstLine="420" w:firstLineChars="200"/>
        <w:rPr>
          <w:color w:val="000000"/>
          <w:szCs w:val="21"/>
        </w:rPr>
      </w:pPr>
      <w:r>
        <w:rPr>
          <w:szCs w:val="24"/>
          <w:lang w:bidi="zh-CN"/>
        </w:rPr>
        <w:t>4.本采</w:t>
      </w:r>
      <w:r>
        <w:rPr>
          <w:color w:val="000000"/>
          <w:szCs w:val="21"/>
        </w:rPr>
        <w:t>购包不接受联合体响应。中选人不得将本项目分包/转包。</w:t>
      </w:r>
    </w:p>
    <w:p>
      <w:pPr>
        <w:snapToGrid w:val="0"/>
        <w:spacing w:line="360" w:lineRule="auto"/>
        <w:ind w:firstLine="420" w:firstLineChars="200"/>
      </w:pPr>
      <w:r>
        <w:rPr>
          <w:szCs w:val="24"/>
          <w:lang w:bidi="zh-CN"/>
        </w:rPr>
        <w:t>5.合</w:t>
      </w:r>
      <w:r>
        <w:rPr>
          <w:color w:val="000000"/>
          <w:szCs w:val="21"/>
        </w:rPr>
        <w:t>同履行期限：服务期1年</w:t>
      </w:r>
      <w:r>
        <w:rPr>
          <w:rFonts w:hint="eastAsia"/>
          <w:color w:val="000000"/>
          <w:szCs w:val="21"/>
          <w:lang w:eastAsia="zh-CN"/>
        </w:rPr>
        <w:t>，</w:t>
      </w:r>
      <w:r>
        <w:rPr>
          <w:rFonts w:hint="eastAsia"/>
          <w:color w:val="000000"/>
          <w:szCs w:val="21"/>
          <w:lang w:val="en-US" w:eastAsia="zh-CN"/>
        </w:rPr>
        <w:t>自2025年7月31日至2026年7月30日止，</w:t>
      </w:r>
      <w:r>
        <w:rPr>
          <w:color w:val="000000"/>
          <w:szCs w:val="21"/>
        </w:rPr>
        <w:t>或服务期内结算金额达到合同金额则服务提前终止。</w:t>
      </w:r>
    </w:p>
    <w:p>
      <w:pPr>
        <w:snapToGrid w:val="0"/>
        <w:spacing w:line="360" w:lineRule="auto"/>
        <w:rPr>
          <w:rFonts w:ascii="宋体" w:hAnsi="宋体" w:cs="宋体"/>
          <w:b/>
          <w:bCs/>
          <w:color w:val="000000"/>
          <w:szCs w:val="21"/>
        </w:rPr>
      </w:pPr>
      <w:r>
        <w:rPr>
          <w:rFonts w:hint="eastAsia" w:ascii="宋体" w:hAnsi="宋体" w:cs="宋体"/>
          <w:b/>
          <w:bCs/>
          <w:color w:val="000000"/>
          <w:szCs w:val="21"/>
        </w:rPr>
        <w:t>四、供应商的资格要求</w:t>
      </w:r>
    </w:p>
    <w:p>
      <w:pPr>
        <w:spacing w:before="156" w:beforeLines="50"/>
        <w:ind w:firstLine="420" w:firstLineChars="200"/>
      </w:pPr>
      <w:r>
        <w:rPr>
          <w:rFonts w:hint="eastAsia"/>
        </w:rPr>
        <w:t>（一）中华人民共和国境内注册的法人或其他组织；分支机构响应的，必须由总公司（总所）授权【依据总公司（总所）的企业法人营业执照或事业法人登记证或其他组织的营业执照或执业许可证或居民身份证等相关证照的扫描件、分支机构的营业执照（执业许可证）扫描件及总公司（总所）出具给分支机构的授权书】。</w:t>
      </w:r>
    </w:p>
    <w:p>
      <w:pPr>
        <w:spacing w:line="360" w:lineRule="auto"/>
        <w:ind w:firstLine="540"/>
      </w:pPr>
      <w:r>
        <w:t xml:space="preserve">（二）供应商未被列入“信用中国”网站中“记录失信被执行人或重大税收违法失信主体或政府采购严重违法失信行为”的记录名单；不处于“中国政府采购网”中“政府采购严重违法失信行为信息记录”的禁止参加政府采购活动期间（以比选评审小组于资格审查时在上述网站查询结果为准，如在上述网站查询结果均显示没有相关记录，视为没有上述不良信用记录。同时对信用信息查询记录和证据截图存档。如相关失信记录已失效，比选申请人须提供相关证明资料）。 </w:t>
      </w:r>
    </w:p>
    <w:p>
      <w:pPr>
        <w:spacing w:line="360" w:lineRule="auto"/>
        <w:ind w:firstLine="540"/>
      </w:pPr>
      <w:r>
        <w:t>（三）本项目不接受联合体响应。</w:t>
      </w:r>
    </w:p>
    <w:p>
      <w:pPr>
        <w:spacing w:line="360" w:lineRule="auto"/>
        <w:ind w:firstLine="540"/>
      </w:pPr>
      <w:r>
        <w:t>（</w:t>
      </w:r>
      <w:r>
        <w:rPr>
          <w:rFonts w:hint="eastAsia"/>
        </w:rPr>
        <w:t>四</w:t>
      </w:r>
      <w:r>
        <w:t>）本项目特定资格要求：</w:t>
      </w:r>
    </w:p>
    <w:p>
      <w:pPr>
        <w:spacing w:line="360" w:lineRule="auto"/>
        <w:ind w:firstLine="540"/>
      </w:pPr>
      <w:r>
        <w:rPr>
          <w:rFonts w:hint="eastAsia"/>
        </w:rPr>
        <w:t>1</w:t>
      </w:r>
      <w:r>
        <w:t>. 比选申请人具有卫生部门核发且在有效期内的《医疗机构执业许可证》，诊疗科目应包含医学检验科。</w:t>
      </w:r>
    </w:p>
    <w:p>
      <w:pPr>
        <w:spacing w:line="360" w:lineRule="auto"/>
        <w:ind w:firstLine="540"/>
      </w:pPr>
      <w:r>
        <w:rPr>
          <w:rFonts w:hint="eastAsia"/>
        </w:rPr>
        <w:t>2</w:t>
      </w:r>
      <w:r>
        <w:t>. 具备临床基因扩增检验（PCR）实验室技术审核验收合格证书。</w:t>
      </w:r>
    </w:p>
    <w:p>
      <w:pPr>
        <w:widowControl/>
        <w:snapToGrid w:val="0"/>
        <w:spacing w:line="360" w:lineRule="auto"/>
        <w:rPr>
          <w:rFonts w:ascii="宋体" w:hAnsi="宋体" w:cs="宋体"/>
          <w:b/>
          <w:bCs/>
          <w:color w:val="000000"/>
          <w:szCs w:val="21"/>
        </w:rPr>
      </w:pPr>
      <w:r>
        <w:rPr>
          <w:rFonts w:hint="eastAsia" w:ascii="宋体" w:hAnsi="宋体" w:cs="宋体"/>
          <w:b/>
          <w:bCs/>
          <w:color w:val="000000"/>
          <w:szCs w:val="21"/>
        </w:rPr>
        <w:t>五、提交比选文件截止时间</w:t>
      </w:r>
    </w:p>
    <w:p>
      <w:pPr>
        <w:spacing w:before="156" w:beforeLines="50"/>
        <w:ind w:firstLine="420" w:firstLineChars="200"/>
      </w:pPr>
      <w:r>
        <w:rPr>
          <w:rFonts w:hint="eastAsia"/>
          <w:u w:val="single"/>
        </w:rPr>
        <w:t xml:space="preserve"> </w:t>
      </w:r>
      <w:r>
        <w:rPr>
          <w:rFonts w:hint="eastAsia"/>
          <w:u w:val="single"/>
          <w:lang w:val="en-US" w:eastAsia="zh-CN"/>
        </w:rPr>
        <w:t>2025</w:t>
      </w:r>
      <w:r>
        <w:rPr>
          <w:rFonts w:hint="eastAsia"/>
          <w:u w:val="single"/>
        </w:rPr>
        <w:t xml:space="preserve"> </w:t>
      </w:r>
      <w:r>
        <w:rPr>
          <w:rFonts w:hint="eastAsia"/>
        </w:rPr>
        <w:t xml:space="preserve">年 </w:t>
      </w:r>
      <w:r>
        <w:rPr>
          <w:rFonts w:hint="eastAsia"/>
          <w:u w:val="single"/>
          <w:lang w:val="en-US" w:eastAsia="zh-CN"/>
        </w:rPr>
        <w:t>4</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16</w:t>
      </w:r>
      <w:r>
        <w:rPr>
          <w:rFonts w:hint="eastAsia"/>
          <w:u w:val="single"/>
        </w:rPr>
        <w:t xml:space="preserve"> </w:t>
      </w:r>
      <w:r>
        <w:rPr>
          <w:rFonts w:hint="eastAsia"/>
        </w:rPr>
        <w:t>时00分00秒 （北京时间）</w:t>
      </w:r>
    </w:p>
    <w:p>
      <w:pPr>
        <w:spacing w:before="156" w:beforeLines="50"/>
        <w:ind w:firstLine="420" w:firstLineChars="200"/>
      </w:pPr>
      <w:r>
        <w:rPr>
          <w:rFonts w:hint="eastAsia"/>
        </w:rPr>
        <w:t>递交地点：广州市白云区钟落潭镇新村广从十路1288号广州市老人院</w:t>
      </w:r>
    </w:p>
    <w:p>
      <w:pPr>
        <w:spacing w:before="156" w:beforeLines="50"/>
        <w:ind w:firstLine="420" w:firstLineChars="200"/>
      </w:pPr>
      <w:r>
        <w:rPr>
          <w:rFonts w:hint="eastAsia"/>
        </w:rPr>
        <w:t>递交方式：</w:t>
      </w:r>
      <w:r>
        <w:rPr>
          <w:rFonts w:hint="eastAsia"/>
          <w:b/>
          <w:bCs/>
        </w:rPr>
        <w:t>现场递交。</w:t>
      </w:r>
      <w:r>
        <w:rPr>
          <w:rFonts w:hint="eastAsia"/>
        </w:rPr>
        <w:t>（比选申请人在比选文件截止时间前现场递交到指定递交地点）</w:t>
      </w:r>
    </w:p>
    <w:p>
      <w:pPr>
        <w:spacing w:before="156" w:beforeLines="50"/>
        <w:ind w:firstLine="420" w:firstLineChars="200"/>
        <w:rPr>
          <w:rFonts w:hint="default" w:ascii="宋体" w:hAnsi="宋体" w:eastAsia="宋体" w:cs="宋体"/>
          <w:b/>
          <w:bCs/>
          <w:color w:val="000000"/>
          <w:szCs w:val="21"/>
          <w:u w:val="single"/>
          <w:lang w:val="en-US" w:eastAsia="zh-CN"/>
        </w:rPr>
      </w:pPr>
      <w:r>
        <w:rPr>
          <w:rFonts w:hint="eastAsia"/>
        </w:rPr>
        <w:t xml:space="preserve">收件人： </w:t>
      </w:r>
      <w:r>
        <w:rPr>
          <w:rFonts w:hint="eastAsia"/>
          <w:u w:val="single"/>
        </w:rPr>
        <w:t xml:space="preserve"> </w:t>
      </w:r>
      <w:r>
        <w:rPr>
          <w:rFonts w:hint="eastAsia"/>
          <w:u w:val="single"/>
          <w:lang w:eastAsia="zh-CN"/>
        </w:rPr>
        <w:t>杨富钱</w:t>
      </w:r>
      <w:r>
        <w:rPr>
          <w:rFonts w:hint="eastAsia"/>
          <w:u w:val="single"/>
        </w:rPr>
        <w:t xml:space="preserve"> </w:t>
      </w:r>
      <w:r>
        <w:rPr>
          <w:rFonts w:hint="eastAsia"/>
        </w:rPr>
        <w:t xml:space="preserve">        联系电话：</w:t>
      </w:r>
      <w:r>
        <w:rPr>
          <w:rFonts w:hint="eastAsia" w:ascii="宋体" w:hAnsi="宋体" w:cs="宋体"/>
          <w:b/>
          <w:bCs/>
          <w:color w:val="000000"/>
          <w:szCs w:val="21"/>
          <w:u w:val="single"/>
          <w:lang w:val="en-US" w:eastAsia="zh-CN"/>
        </w:rPr>
        <w:t>020-87411201</w:t>
      </w:r>
    </w:p>
    <w:p>
      <w:pPr>
        <w:spacing w:before="156" w:beforeLines="50"/>
        <w:rPr>
          <w:rFonts w:ascii="宋体" w:hAnsi="宋体" w:cs="宋体"/>
          <w:b/>
          <w:bCs/>
          <w:color w:val="000000"/>
          <w:szCs w:val="21"/>
        </w:rPr>
      </w:pPr>
      <w:r>
        <w:rPr>
          <w:rFonts w:hint="eastAsia" w:ascii="宋体" w:hAnsi="宋体" w:cs="宋体"/>
          <w:b/>
          <w:bCs/>
          <w:color w:val="000000"/>
          <w:szCs w:val="21"/>
        </w:rPr>
        <w:t>六、公告期限</w:t>
      </w:r>
    </w:p>
    <w:p>
      <w:pPr>
        <w:widowControl/>
        <w:snapToGrid w:val="0"/>
        <w:spacing w:line="360" w:lineRule="auto"/>
        <w:ind w:left="210" w:leftChars="100" w:firstLine="210" w:firstLineChars="100"/>
        <w:rPr>
          <w:rFonts w:ascii="宋体" w:hAnsi="宋体" w:cs="宋体"/>
          <w:b/>
          <w:bCs/>
          <w:color w:val="000000"/>
          <w:szCs w:val="21"/>
        </w:rPr>
      </w:pPr>
      <w:r>
        <w:rPr>
          <w:rFonts w:hint="eastAsia"/>
          <w:u w:val="single"/>
        </w:rPr>
        <w:t xml:space="preserve"> </w:t>
      </w:r>
      <w:r>
        <w:rPr>
          <w:rFonts w:hint="eastAsia"/>
          <w:u w:val="single"/>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lang w:val="en-US" w:eastAsia="zh-CN"/>
        </w:rPr>
        <w:t xml:space="preserve"> </w:t>
      </w:r>
      <w:r>
        <w:rPr>
          <w:rFonts w:hint="eastAsia"/>
          <w:u w:val="single"/>
          <w:lang w:val="en-US" w:eastAsia="zh-CN"/>
        </w:rPr>
        <w:t>8</w:t>
      </w:r>
      <w:r>
        <w:rPr>
          <w:rFonts w:hint="eastAsia"/>
          <w:u w:val="single"/>
        </w:rPr>
        <w:t xml:space="preserve"> </w:t>
      </w:r>
      <w:r>
        <w:rPr>
          <w:rFonts w:hint="eastAsia"/>
        </w:rPr>
        <w:t>日至</w:t>
      </w:r>
      <w:r>
        <w:rPr>
          <w:rFonts w:hint="eastAsia"/>
          <w:u w:val="single"/>
        </w:rPr>
        <w:t xml:space="preserve"> </w:t>
      </w:r>
      <w:r>
        <w:rPr>
          <w:rFonts w:hint="eastAsia"/>
          <w:u w:val="single"/>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日（北京时间,法定节假日除外），共</w:t>
      </w:r>
      <w:r>
        <w:rPr>
          <w:rFonts w:hint="eastAsia"/>
          <w:u w:val="single"/>
        </w:rPr>
        <w:t xml:space="preserve"> </w:t>
      </w:r>
      <w:r>
        <w:rPr>
          <w:rFonts w:hint="eastAsia"/>
          <w:u w:val="single"/>
          <w:lang w:val="en-US" w:eastAsia="zh-CN"/>
        </w:rPr>
        <w:t>5</w:t>
      </w:r>
      <w:r>
        <w:rPr>
          <w:rFonts w:hint="eastAsia"/>
          <w:u w:val="single"/>
        </w:rPr>
        <w:t xml:space="preserve"> </w:t>
      </w:r>
      <w:r>
        <w:rPr>
          <w:rFonts w:hint="eastAsia"/>
        </w:rPr>
        <w:t>个工作日。</w:t>
      </w:r>
    </w:p>
    <w:p>
      <w:pPr>
        <w:widowControl/>
        <w:numPr>
          <w:ilvl w:val="0"/>
          <w:numId w:val="1"/>
        </w:numPr>
        <w:snapToGrid w:val="0"/>
        <w:spacing w:line="360" w:lineRule="auto"/>
        <w:ind w:left="641" w:hanging="641" w:hangingChars="304"/>
        <w:rPr>
          <w:rFonts w:ascii="宋体" w:hAnsi="宋体" w:cs="宋体"/>
          <w:b/>
          <w:bCs/>
          <w:color w:val="000000"/>
          <w:szCs w:val="21"/>
        </w:rPr>
      </w:pPr>
      <w:r>
        <w:rPr>
          <w:rFonts w:hint="eastAsia" w:ascii="宋体" w:hAnsi="宋体" w:cs="宋体"/>
          <w:b/>
          <w:bCs/>
          <w:color w:val="000000"/>
          <w:szCs w:val="21"/>
        </w:rPr>
        <w:t>其他补充事宜</w:t>
      </w:r>
    </w:p>
    <w:p>
      <w:pPr>
        <w:widowControl/>
        <w:snapToGrid w:val="0"/>
        <w:spacing w:line="360" w:lineRule="auto"/>
        <w:ind w:firstLine="420" w:firstLineChars="200"/>
      </w:pPr>
      <w:r>
        <w:rPr>
          <w:rFonts w:hint="eastAsia"/>
        </w:rPr>
        <w:t>1..本项目采用纸质资料比选，供应商参加本项目比选需按采购文件要求提交</w:t>
      </w:r>
      <w:r>
        <w:rPr>
          <w:rFonts w:hint="eastAsia"/>
          <w:b/>
          <w:bCs/>
        </w:rPr>
        <w:t>正本、副本各一份</w:t>
      </w:r>
      <w:r>
        <w:rPr>
          <w:rFonts w:hint="eastAsia"/>
        </w:rPr>
        <w:t>资料。资料若为复印件须加盖公章。</w:t>
      </w:r>
    </w:p>
    <w:p>
      <w:pPr>
        <w:spacing w:before="156" w:beforeLines="50"/>
        <w:ind w:firstLine="420" w:firstLineChars="200"/>
        <w:rPr>
          <w:rFonts w:ascii="宋体" w:hAnsi="宋体" w:cs="宋体"/>
          <w:b/>
          <w:bCs/>
          <w:color w:val="000000"/>
          <w:szCs w:val="21"/>
        </w:rPr>
      </w:pPr>
      <w:r>
        <w:rPr>
          <w:rFonts w:hint="eastAsia"/>
        </w:rPr>
        <w:t>2.比选申请人提交比选资料均应密封包装，注明比选文件递交日期和比选单位名称，并加盖公章（否则比选文件视为无效）。</w:t>
      </w:r>
    </w:p>
    <w:p>
      <w:pPr>
        <w:widowControl/>
        <w:snapToGrid w:val="0"/>
        <w:spacing w:line="360" w:lineRule="auto"/>
        <w:rPr>
          <w:rFonts w:ascii="宋体" w:hAnsi="宋体" w:cs="宋体"/>
          <w:b/>
          <w:bCs/>
          <w:color w:val="000000"/>
          <w:szCs w:val="21"/>
        </w:rPr>
      </w:pPr>
      <w:r>
        <w:rPr>
          <w:rFonts w:hint="eastAsia" w:ascii="宋体" w:hAnsi="宋体" w:cs="宋体"/>
          <w:b/>
          <w:bCs/>
          <w:color w:val="000000"/>
          <w:szCs w:val="21"/>
        </w:rPr>
        <w:t>八、对本次比选提出询问，请按以下方式联系。</w:t>
      </w:r>
    </w:p>
    <w:p>
      <w:pPr>
        <w:ind w:firstLine="420" w:firstLineChars="200"/>
      </w:pPr>
      <w:r>
        <w:rPr>
          <w:rFonts w:hint="eastAsia"/>
        </w:rPr>
        <w:t>1.采购人信息</w:t>
      </w:r>
    </w:p>
    <w:p>
      <w:pPr>
        <w:ind w:firstLine="420" w:firstLineChars="200"/>
      </w:pPr>
      <w:r>
        <w:rPr>
          <w:rFonts w:hint="eastAsia"/>
        </w:rPr>
        <w:t>名  称：广州市老人院</w:t>
      </w:r>
    </w:p>
    <w:p>
      <w:pPr>
        <w:ind w:firstLine="420" w:firstLineChars="200"/>
      </w:pPr>
      <w:r>
        <w:rPr>
          <w:rFonts w:hint="eastAsia"/>
        </w:rPr>
        <w:t>地  址：广州市白云区钟落潭新村广从十路1288号</w:t>
      </w:r>
    </w:p>
    <w:p>
      <w:pPr>
        <w:ind w:firstLine="420" w:firstLineChars="200"/>
        <w:rPr>
          <w:rFonts w:hint="default" w:eastAsia="宋体"/>
          <w:lang w:val="en-US" w:eastAsia="zh-CN"/>
        </w:rPr>
      </w:pPr>
      <w:r>
        <w:rPr>
          <w:rFonts w:hint="eastAsia"/>
        </w:rPr>
        <w:t>联系方式：</w:t>
      </w:r>
      <w:r>
        <w:rPr>
          <w:rFonts w:hint="eastAsia"/>
          <w:lang w:val="en-US" w:eastAsia="zh-CN"/>
        </w:rPr>
        <w:t>020-87411201</w:t>
      </w:r>
    </w:p>
    <w:p>
      <w:pPr>
        <w:ind w:firstLine="420" w:firstLineChars="200"/>
      </w:pPr>
      <w:r>
        <w:rPr>
          <w:rFonts w:hint="eastAsia"/>
        </w:rPr>
        <w:t>2.项目联系方式</w:t>
      </w:r>
    </w:p>
    <w:p>
      <w:pPr>
        <w:ind w:firstLine="420" w:firstLineChars="200"/>
      </w:pPr>
      <w:r>
        <w:rPr>
          <w:rFonts w:hint="eastAsia"/>
        </w:rPr>
        <w:t>项目联系人：</w:t>
      </w:r>
      <w:r>
        <w:rPr>
          <w:rFonts w:hint="eastAsia"/>
          <w:lang w:eastAsia="zh-CN"/>
        </w:rPr>
        <w:t>吴小姐</w:t>
      </w:r>
      <w:r>
        <w:rPr>
          <w:rFonts w:hint="eastAsia"/>
        </w:rPr>
        <w:t xml:space="preserve"> </w:t>
      </w:r>
    </w:p>
    <w:p>
      <w:pPr>
        <w:ind w:firstLine="420" w:firstLineChars="200"/>
        <w:rPr>
          <w:rFonts w:hint="default" w:eastAsia="宋体"/>
          <w:lang w:val="en-US" w:eastAsia="zh-CN"/>
        </w:rPr>
      </w:pPr>
      <w:r>
        <w:rPr>
          <w:rFonts w:hint="eastAsia"/>
        </w:rPr>
        <w:t>电  话：</w:t>
      </w:r>
      <w:r>
        <w:rPr>
          <w:rFonts w:hint="eastAsia"/>
          <w:lang w:val="en-US" w:eastAsia="zh-CN"/>
        </w:rPr>
        <w:t>020-89912028</w:t>
      </w:r>
    </w:p>
    <w:p>
      <w:pPr>
        <w:spacing w:before="156" w:beforeLines="50"/>
        <w:jc w:val="right"/>
      </w:pPr>
    </w:p>
    <w:p>
      <w:pPr>
        <w:spacing w:before="156" w:beforeLines="50"/>
        <w:jc w:val="center"/>
      </w:pPr>
      <w:r>
        <w:rPr>
          <w:rFonts w:hint="eastAsia"/>
        </w:rPr>
        <w:t xml:space="preserve">                                         </w:t>
      </w:r>
      <w:r>
        <w:rPr>
          <w:rFonts w:hint="eastAsia"/>
          <w:lang w:val="en-US" w:eastAsia="zh-CN"/>
        </w:rPr>
        <w:t xml:space="preserve">     </w:t>
      </w:r>
      <w:r>
        <w:rPr>
          <w:rFonts w:hint="eastAsia"/>
        </w:rPr>
        <w:t>广州市老人院</w:t>
      </w:r>
    </w:p>
    <w:p>
      <w:pPr>
        <w:ind w:firstLine="5670" w:firstLineChars="2700"/>
      </w:pPr>
      <w:r>
        <w:rPr>
          <w:rFonts w:hint="eastAsia"/>
          <w:u w:val="single"/>
        </w:rPr>
        <w:t xml:space="preserve"> </w:t>
      </w:r>
      <w:r>
        <w:rPr>
          <w:rFonts w:hint="eastAsia"/>
          <w:u w:val="single"/>
          <w:lang w:val="en-US" w:eastAsia="zh-CN"/>
        </w:rPr>
        <w:t>2025</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日</w:t>
      </w: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880" w:firstLineChars="200"/>
        <w:jc w:val="center"/>
        <w:rPr>
          <w:rFonts w:eastAsia="方正小标宋简体"/>
          <w:color w:val="000000"/>
          <w:sz w:val="44"/>
          <w:szCs w:val="44"/>
        </w:rPr>
      </w:pPr>
    </w:p>
    <w:p>
      <w:pPr>
        <w:spacing w:line="560" w:lineRule="exact"/>
        <w:ind w:firstLine="0" w:firstLineChars="0"/>
        <w:jc w:val="center"/>
        <w:rPr>
          <w:rFonts w:eastAsia="方正小标宋简体"/>
          <w:color w:val="000000"/>
          <w:sz w:val="44"/>
          <w:szCs w:val="44"/>
        </w:rPr>
      </w:pPr>
      <w:r>
        <w:rPr>
          <w:rFonts w:eastAsia="方正小标宋简体"/>
          <w:color w:val="000000"/>
          <w:sz w:val="44"/>
          <w:szCs w:val="44"/>
        </w:rPr>
        <w:t>广州市老人院2025年检验外送服务</w:t>
      </w:r>
    </w:p>
    <w:p>
      <w:pPr>
        <w:spacing w:line="560" w:lineRule="exact"/>
        <w:ind w:firstLine="880" w:firstLineChars="200"/>
        <w:jc w:val="center"/>
        <w:rPr>
          <w:rFonts w:eastAsia="方正小标宋简体"/>
          <w:color w:val="000000"/>
          <w:sz w:val="44"/>
          <w:szCs w:val="44"/>
        </w:rPr>
      </w:pPr>
      <w:r>
        <w:rPr>
          <w:rFonts w:eastAsia="方正小标宋简体"/>
          <w:color w:val="000000"/>
          <w:sz w:val="44"/>
          <w:szCs w:val="44"/>
        </w:rPr>
        <w:t>采购项目</w:t>
      </w:r>
      <w:r>
        <w:rPr>
          <w:rFonts w:hint="eastAsia" w:eastAsia="方正小标宋简体"/>
          <w:color w:val="000000"/>
          <w:sz w:val="44"/>
          <w:szCs w:val="44"/>
          <w:lang w:eastAsia="zh-CN"/>
        </w:rPr>
        <w:t>采购</w:t>
      </w:r>
      <w:r>
        <w:rPr>
          <w:rFonts w:eastAsia="方正小标宋简体"/>
          <w:color w:val="000000"/>
          <w:sz w:val="44"/>
          <w:szCs w:val="44"/>
        </w:rPr>
        <w:t>方案</w:t>
      </w:r>
    </w:p>
    <w:p>
      <w:pPr>
        <w:pStyle w:val="12"/>
        <w:snapToGrid w:val="0"/>
        <w:spacing w:line="360" w:lineRule="auto"/>
        <w:ind w:firstLine="840" w:firstLineChars="400"/>
        <w:rPr>
          <w:rFonts w:hint="default" w:ascii="Times New Roman" w:hAnsi="Times New Roman" w:eastAsia="宋体"/>
          <w:color w:val="000000"/>
          <w:sz w:val="21"/>
          <w:szCs w:val="21"/>
          <w:lang w:val="en-US" w:bidi="ar-SA"/>
        </w:rPr>
      </w:pPr>
    </w:p>
    <w:p>
      <w:pPr>
        <w:pStyle w:val="12"/>
        <w:snapToGrid w:val="0"/>
        <w:spacing w:line="360" w:lineRule="auto"/>
        <w:ind w:firstLine="420" w:firstLineChars="200"/>
        <w:rPr>
          <w:rFonts w:hint="default" w:ascii="Times New Roman" w:hAnsi="Times New Roman" w:eastAsia="宋体"/>
          <w:color w:val="000000"/>
          <w:sz w:val="21"/>
          <w:szCs w:val="21"/>
          <w:lang w:val="en-US" w:bidi="ar-SA"/>
        </w:rPr>
      </w:pPr>
      <w:r>
        <w:rPr>
          <w:rFonts w:hint="default" w:ascii="Times New Roman" w:hAnsi="Times New Roman" w:eastAsia="宋体"/>
          <w:color w:val="000000"/>
          <w:sz w:val="21"/>
          <w:szCs w:val="21"/>
          <w:lang w:val="en-US" w:bidi="ar-SA"/>
        </w:rPr>
        <w:t>广州市老人院拟采用院内比选方式组织采购2025年检验外送服务项目，欢迎符合资格条件的比选申请人参加。</w:t>
      </w:r>
    </w:p>
    <w:p>
      <w:pPr>
        <w:pStyle w:val="12"/>
        <w:snapToGrid w:val="0"/>
        <w:spacing w:line="360" w:lineRule="auto"/>
        <w:ind w:firstLine="422" w:firstLineChars="200"/>
        <w:rPr>
          <w:rFonts w:hint="default" w:ascii="Times New Roman" w:hAnsi="Times New Roman" w:eastAsia="宋体"/>
          <w:b/>
          <w:bCs/>
          <w:color w:val="000000"/>
          <w:sz w:val="21"/>
          <w:szCs w:val="21"/>
          <w:lang w:val="en-US" w:bidi="ar-SA"/>
        </w:rPr>
      </w:pPr>
      <w:r>
        <w:rPr>
          <w:rFonts w:hint="default" w:ascii="Times New Roman" w:hAnsi="Times New Roman" w:eastAsia="宋体"/>
          <w:b/>
          <w:bCs/>
          <w:color w:val="000000"/>
          <w:sz w:val="21"/>
          <w:szCs w:val="21"/>
          <w:lang w:val="en-US" w:bidi="ar-SA"/>
        </w:rPr>
        <w:t>一、项目基本情况</w:t>
      </w:r>
    </w:p>
    <w:p>
      <w:pPr>
        <w:pStyle w:val="12"/>
        <w:snapToGrid w:val="0"/>
        <w:spacing w:line="360" w:lineRule="auto"/>
        <w:ind w:firstLine="420" w:firstLineChars="200"/>
        <w:rPr>
          <w:rFonts w:hint="default" w:ascii="Times New Roman" w:hAnsi="Times New Roman" w:eastAsia="宋体"/>
          <w:i w:val="0"/>
          <w:iCs w:val="0"/>
          <w:color w:val="000000"/>
          <w:sz w:val="21"/>
          <w:szCs w:val="21"/>
          <w:lang w:val="en-US" w:bidi="ar-SA"/>
        </w:rPr>
      </w:pPr>
      <w:r>
        <w:rPr>
          <w:rFonts w:hint="default" w:ascii="Times New Roman" w:hAnsi="Times New Roman" w:eastAsia="宋体"/>
          <w:color w:val="000000"/>
          <w:sz w:val="21"/>
          <w:szCs w:val="21"/>
          <w:lang w:val="en-US" w:bidi="ar-SA"/>
        </w:rPr>
        <w:t>项目编号：</w:t>
      </w:r>
      <w:r>
        <w:rPr>
          <w:rFonts w:hint="default" w:ascii="Times New Roman" w:hAnsi="Times New Roman" w:eastAsia="宋体"/>
          <w:i w:val="0"/>
          <w:iCs w:val="0"/>
          <w:color w:val="000000"/>
          <w:sz w:val="21"/>
          <w:szCs w:val="21"/>
          <w:lang w:val="en-US" w:bidi="ar-SA"/>
        </w:rPr>
        <w:t>2025-</w:t>
      </w:r>
      <w:r>
        <w:rPr>
          <w:rFonts w:hint="default" w:ascii="Times New Roman" w:hAnsi="Times New Roman" w:eastAsia="宋体"/>
          <w:i w:val="0"/>
          <w:iCs w:val="0"/>
          <w:color w:val="000000"/>
          <w:sz w:val="21"/>
          <w:szCs w:val="21"/>
          <w:u w:val="none"/>
          <w:lang w:val="en-US" w:bidi="ar-SA"/>
        </w:rPr>
        <w:t xml:space="preserve"> </w:t>
      </w:r>
      <w:r>
        <w:rPr>
          <w:rFonts w:hint="default" w:ascii="Times New Roman" w:hAnsi="Times New Roman" w:eastAsia="宋体"/>
          <w:i w:val="0"/>
          <w:iCs w:val="0"/>
          <w:color w:val="000000"/>
          <w:sz w:val="21"/>
          <w:szCs w:val="21"/>
          <w:u w:val="none"/>
          <w:lang w:val="en-US" w:eastAsia="zh-CN" w:bidi="ar-SA"/>
        </w:rPr>
        <w:t>003</w:t>
      </w:r>
      <w:r>
        <w:rPr>
          <w:rFonts w:hint="default" w:ascii="Times New Roman" w:hAnsi="Times New Roman" w:eastAsia="宋体"/>
          <w:i w:val="0"/>
          <w:iCs w:val="0"/>
          <w:color w:val="000000"/>
          <w:sz w:val="21"/>
          <w:szCs w:val="21"/>
          <w:u w:val="none"/>
          <w:lang w:val="en-US" w:bidi="ar-SA"/>
        </w:rPr>
        <w:t xml:space="preserve"> </w:t>
      </w:r>
      <w:r>
        <w:rPr>
          <w:rFonts w:hint="default" w:ascii="Times New Roman" w:hAnsi="Times New Roman" w:eastAsia="宋体"/>
          <w:i w:val="0"/>
          <w:iCs w:val="0"/>
          <w:color w:val="000000"/>
          <w:sz w:val="21"/>
          <w:szCs w:val="21"/>
          <w:lang w:val="en-US" w:bidi="ar-SA"/>
        </w:rPr>
        <w:t>A</w:t>
      </w:r>
    </w:p>
    <w:p>
      <w:pPr>
        <w:pStyle w:val="12"/>
        <w:snapToGrid w:val="0"/>
        <w:spacing w:line="360" w:lineRule="auto"/>
        <w:ind w:firstLine="420" w:firstLineChars="200"/>
        <w:rPr>
          <w:rFonts w:hint="default" w:ascii="Times New Roman" w:hAnsi="Times New Roman" w:eastAsia="宋体"/>
          <w:color w:val="000000"/>
          <w:sz w:val="21"/>
          <w:szCs w:val="21"/>
          <w:lang w:val="en-US" w:bidi="ar-SA"/>
        </w:rPr>
      </w:pPr>
      <w:r>
        <w:rPr>
          <w:rFonts w:hint="default" w:ascii="Times New Roman" w:hAnsi="Times New Roman" w:eastAsia="宋体"/>
          <w:color w:val="000000"/>
          <w:sz w:val="21"/>
          <w:szCs w:val="21"/>
          <w:lang w:val="en-US" w:bidi="ar-SA"/>
        </w:rPr>
        <w:t>项目名称：</w:t>
      </w:r>
      <w:r>
        <w:rPr>
          <w:rFonts w:hint="default" w:ascii="Times New Roman" w:hAnsi="Times New Roman" w:eastAsia="宋体"/>
          <w:i w:val="0"/>
          <w:iCs w:val="0"/>
          <w:color w:val="000000"/>
          <w:sz w:val="21"/>
          <w:szCs w:val="21"/>
          <w:lang w:val="en-US" w:bidi="ar-SA"/>
        </w:rPr>
        <w:t>广州市老人院2025年检验外送服务采购项目</w:t>
      </w:r>
    </w:p>
    <w:p>
      <w:pPr>
        <w:pStyle w:val="12"/>
        <w:snapToGrid w:val="0"/>
        <w:spacing w:line="360" w:lineRule="auto"/>
        <w:ind w:firstLine="420" w:firstLineChars="200"/>
        <w:rPr>
          <w:rFonts w:hint="default" w:ascii="Times New Roman" w:hAnsi="Times New Roman" w:eastAsia="宋体"/>
          <w:i w:val="0"/>
          <w:iCs w:val="0"/>
          <w:color w:val="000000"/>
          <w:sz w:val="21"/>
          <w:szCs w:val="21"/>
          <w:lang w:val="en-US" w:bidi="ar-SA"/>
        </w:rPr>
      </w:pPr>
      <w:r>
        <w:rPr>
          <w:rFonts w:hint="default" w:ascii="Times New Roman" w:hAnsi="Times New Roman" w:eastAsia="宋体"/>
          <w:color w:val="000000"/>
          <w:sz w:val="21"/>
          <w:szCs w:val="21"/>
          <w:lang w:val="en-US" w:bidi="ar-SA"/>
        </w:rPr>
        <w:t>采购方式：</w:t>
      </w:r>
      <w:r>
        <w:rPr>
          <w:rFonts w:hint="default" w:ascii="Times New Roman" w:hAnsi="Times New Roman" w:eastAsia="宋体"/>
          <w:i w:val="0"/>
          <w:iCs w:val="0"/>
          <w:color w:val="000000"/>
          <w:sz w:val="21"/>
          <w:szCs w:val="21"/>
          <w:lang w:val="en-US" w:bidi="ar-SA"/>
        </w:rPr>
        <w:t>院内比选</w:t>
      </w:r>
    </w:p>
    <w:p>
      <w:pPr>
        <w:pStyle w:val="12"/>
        <w:snapToGrid w:val="0"/>
        <w:ind w:firstLine="420" w:firstLineChars="200"/>
        <w:rPr>
          <w:rFonts w:hint="default" w:ascii="Times New Roman" w:hAnsi="Times New Roman" w:eastAsia="宋体"/>
          <w:i w:val="0"/>
          <w:iCs w:val="0"/>
          <w:color w:val="000000"/>
          <w:sz w:val="21"/>
          <w:szCs w:val="21"/>
          <w:lang w:val="en-US" w:bidi="ar-SA"/>
        </w:rPr>
      </w:pPr>
      <w:r>
        <w:rPr>
          <w:rFonts w:hint="default" w:ascii="Times New Roman" w:hAnsi="Times New Roman" w:eastAsia="宋体"/>
          <w:color w:val="000000"/>
          <w:sz w:val="21"/>
          <w:szCs w:val="21"/>
          <w:lang w:val="en-US" w:bidi="ar-SA"/>
        </w:rPr>
        <w:t>预算金额：</w:t>
      </w:r>
      <w:r>
        <w:rPr>
          <w:rFonts w:hint="default" w:ascii="Times New Roman" w:hAnsi="Times New Roman" w:eastAsia="宋体"/>
          <w:i w:val="0"/>
          <w:iCs w:val="0"/>
          <w:color w:val="000000"/>
          <w:sz w:val="21"/>
          <w:szCs w:val="21"/>
          <w:lang w:val="en-US" w:bidi="ar-SA"/>
        </w:rPr>
        <w:t>人民币35万元</w:t>
      </w:r>
    </w:p>
    <w:p>
      <w:pPr>
        <w:pStyle w:val="12"/>
        <w:snapToGrid w:val="0"/>
        <w:spacing w:line="360" w:lineRule="auto"/>
        <w:ind w:firstLine="420" w:firstLineChars="200"/>
        <w:rPr>
          <w:rFonts w:hint="default" w:ascii="Times New Roman" w:hAnsi="Times New Roman" w:eastAsia="宋体"/>
          <w:i w:val="0"/>
          <w:iCs w:val="0"/>
          <w:color w:val="000000"/>
          <w:sz w:val="21"/>
          <w:szCs w:val="21"/>
          <w:lang w:val="en-US" w:bidi="ar-SA"/>
        </w:rPr>
      </w:pPr>
      <w:r>
        <w:rPr>
          <w:rFonts w:hint="default" w:ascii="Times New Roman" w:hAnsi="Times New Roman" w:eastAsia="宋体"/>
          <w:color w:val="000000"/>
          <w:sz w:val="21"/>
          <w:szCs w:val="21"/>
          <w:lang w:val="en-US" w:bidi="ar-SA"/>
        </w:rPr>
        <w:t>采购需求：</w:t>
      </w:r>
    </w:p>
    <w:p>
      <w:pPr>
        <w:pStyle w:val="12"/>
        <w:snapToGrid w:val="0"/>
        <w:spacing w:line="360" w:lineRule="auto"/>
        <w:ind w:firstLineChars="200"/>
        <w:rPr>
          <w:rFonts w:hint="default" w:ascii="Times New Roman" w:hAnsi="Times New Roman" w:eastAsia="宋体"/>
          <w:i w:val="0"/>
          <w:iCs w:val="0"/>
          <w:color w:val="000000"/>
          <w:sz w:val="21"/>
          <w:szCs w:val="21"/>
          <w:lang w:val="en-US" w:bidi="ar-SA"/>
        </w:rPr>
      </w:pPr>
      <w:r>
        <w:rPr>
          <w:rFonts w:ascii="Times New Roman" w:hAnsi="Times New Roman" w:eastAsia="宋体"/>
          <w:color w:val="000000"/>
          <w:sz w:val="21"/>
          <w:szCs w:val="21"/>
          <w:lang w:val="en-US" w:bidi="ar-SA"/>
        </w:rPr>
        <w:t>为保障临床检验服务，</w:t>
      </w:r>
      <w:r>
        <w:rPr>
          <w:rFonts w:ascii="Times New Roman" w:hAnsi="Times New Roman" w:eastAsia="宋体"/>
          <w:i w:val="0"/>
          <w:iCs w:val="0"/>
          <w:color w:val="000000"/>
          <w:sz w:val="21"/>
          <w:szCs w:val="21"/>
          <w:lang w:val="en-US" w:bidi="ar-SA"/>
        </w:rPr>
        <w:t>拟采购</w:t>
      </w:r>
      <w:r>
        <w:rPr>
          <w:rFonts w:ascii="Times New Roman" w:hAnsi="Times New Roman" w:eastAsia="宋体"/>
          <w:color w:val="000000"/>
          <w:sz w:val="21"/>
          <w:szCs w:val="21"/>
          <w:lang w:val="en-US" w:bidi="ar-SA"/>
        </w:rPr>
        <w:t>我院暂无法开展但临床需要的</w:t>
      </w:r>
      <w:r>
        <w:rPr>
          <w:rFonts w:ascii="Times New Roman" w:hAnsi="Times New Roman" w:eastAsia="宋体"/>
          <w:i w:val="0"/>
          <w:iCs w:val="0"/>
          <w:color w:val="000000"/>
          <w:sz w:val="21"/>
          <w:szCs w:val="21"/>
          <w:highlight w:val="none"/>
          <w:lang w:val="en-US" w:bidi="ar-SA"/>
        </w:rPr>
        <w:t>检验外送服务，</w:t>
      </w:r>
      <w:r>
        <w:rPr>
          <w:rFonts w:hint="default" w:ascii="Times New Roman" w:hAnsi="Times New Roman" w:eastAsia="宋体"/>
          <w:color w:val="000000"/>
          <w:sz w:val="21"/>
          <w:szCs w:val="21"/>
          <w:lang w:val="en-US" w:bidi="ar-SA"/>
        </w:rPr>
        <w:t>服务期1年</w:t>
      </w:r>
      <w:r>
        <w:rPr>
          <w:rFonts w:hint="eastAsia" w:ascii="Times New Roman" w:hAnsi="Times New Roman" w:eastAsia="宋体"/>
          <w:color w:val="000000"/>
          <w:sz w:val="21"/>
          <w:szCs w:val="21"/>
          <w:lang w:val="en-US" w:eastAsia="zh-CN" w:bidi="ar-SA"/>
        </w:rPr>
        <w:t>，自2025年7月31日至2026年7月30日止，</w:t>
      </w:r>
      <w:r>
        <w:rPr>
          <w:rFonts w:hint="default" w:ascii="Times New Roman" w:hAnsi="Times New Roman" w:eastAsia="宋体"/>
          <w:color w:val="000000"/>
          <w:sz w:val="21"/>
          <w:szCs w:val="21"/>
          <w:lang w:val="en-US" w:bidi="ar-SA"/>
        </w:rPr>
        <w:t>或服务期内结算金额达到合同金额则服务提前终止。</w:t>
      </w:r>
    </w:p>
    <w:tbl>
      <w:tblPr>
        <w:tblStyle w:val="13"/>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077"/>
        <w:gridCol w:w="1000"/>
        <w:gridCol w:w="842"/>
        <w:gridCol w:w="2101"/>
        <w:gridCol w:w="106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shd w:val="clear" w:color="auto" w:fill="FFFFFF"/>
            <w:vAlign w:val="center"/>
          </w:tcPr>
          <w:p>
            <w:pPr>
              <w:pStyle w:val="19"/>
              <w:snapToGrid w:val="0"/>
              <w:spacing w:before="156" w:beforeLines="50" w:line="360" w:lineRule="auto"/>
              <w:jc w:val="center"/>
              <w:rPr>
                <w:rFonts w:ascii="Times New Roman" w:hAnsi="Times New Roman" w:cs="Times New Roman"/>
                <w:b/>
                <w:color w:val="000000"/>
                <w:szCs w:val="21"/>
                <w:lang w:val="en-US"/>
              </w:rPr>
            </w:pPr>
            <w:r>
              <w:rPr>
                <w:rFonts w:ascii="Times New Roman" w:hAnsi="Times New Roman" w:cs="Times New Roman"/>
                <w:b/>
                <w:color w:val="000000"/>
                <w:szCs w:val="21"/>
                <w:lang w:val="en-US"/>
              </w:rPr>
              <w:t>品目号</w:t>
            </w:r>
          </w:p>
        </w:tc>
        <w:tc>
          <w:tcPr>
            <w:tcW w:w="1077" w:type="dxa"/>
            <w:shd w:val="clear" w:color="auto" w:fill="FFFFFF"/>
            <w:vAlign w:val="center"/>
          </w:tcPr>
          <w:p>
            <w:pPr>
              <w:pStyle w:val="19"/>
              <w:snapToGrid w:val="0"/>
              <w:spacing w:before="156" w:beforeLines="50" w:line="360" w:lineRule="auto"/>
              <w:jc w:val="center"/>
              <w:rPr>
                <w:rFonts w:ascii="Times New Roman" w:hAnsi="Times New Roman" w:cs="Times New Roman"/>
                <w:b/>
                <w:color w:val="000000"/>
                <w:szCs w:val="21"/>
                <w:lang w:val="en-US"/>
              </w:rPr>
            </w:pPr>
            <w:r>
              <w:rPr>
                <w:rFonts w:ascii="Times New Roman" w:hAnsi="Times New Roman" w:cs="Times New Roman"/>
                <w:b/>
                <w:color w:val="000000"/>
                <w:szCs w:val="21"/>
              </w:rPr>
              <w:t>品目名称</w:t>
            </w:r>
          </w:p>
        </w:tc>
        <w:tc>
          <w:tcPr>
            <w:tcW w:w="1000" w:type="dxa"/>
            <w:shd w:val="clear" w:color="auto" w:fill="FFFFFF"/>
            <w:vAlign w:val="center"/>
          </w:tcPr>
          <w:p>
            <w:pPr>
              <w:pStyle w:val="19"/>
              <w:snapToGrid w:val="0"/>
              <w:spacing w:before="156" w:beforeLines="50" w:line="360" w:lineRule="auto"/>
              <w:ind w:right="165"/>
              <w:jc w:val="center"/>
              <w:rPr>
                <w:rFonts w:ascii="Times New Roman" w:hAnsi="Times New Roman" w:cs="Times New Roman"/>
                <w:b/>
                <w:color w:val="000000"/>
                <w:szCs w:val="21"/>
                <w:lang w:val="en-US"/>
              </w:rPr>
            </w:pPr>
            <w:r>
              <w:rPr>
                <w:rFonts w:ascii="Times New Roman" w:hAnsi="Times New Roman" w:cs="Times New Roman"/>
                <w:b/>
                <w:color w:val="000000"/>
                <w:szCs w:val="21"/>
              </w:rPr>
              <w:t>采购标的</w:t>
            </w:r>
          </w:p>
        </w:tc>
        <w:tc>
          <w:tcPr>
            <w:tcW w:w="842" w:type="dxa"/>
            <w:shd w:val="clear" w:color="auto" w:fill="FFFFFF"/>
            <w:vAlign w:val="center"/>
          </w:tcPr>
          <w:p>
            <w:pPr>
              <w:pStyle w:val="19"/>
              <w:snapToGrid w:val="0"/>
              <w:spacing w:before="156" w:beforeLines="50" w:line="360" w:lineRule="auto"/>
              <w:ind w:right="-91"/>
              <w:jc w:val="center"/>
              <w:rPr>
                <w:rFonts w:ascii="Times New Roman" w:hAnsi="Times New Roman" w:cs="Times New Roman"/>
                <w:b/>
                <w:color w:val="000000"/>
                <w:szCs w:val="21"/>
                <w:lang w:val="en-US"/>
              </w:rPr>
            </w:pPr>
            <w:r>
              <w:rPr>
                <w:rFonts w:ascii="Times New Roman" w:hAnsi="Times New Roman" w:cs="Times New Roman"/>
                <w:b/>
                <w:color w:val="000000"/>
                <w:szCs w:val="21"/>
              </w:rPr>
              <w:t>数量（单位）</w:t>
            </w:r>
          </w:p>
        </w:tc>
        <w:tc>
          <w:tcPr>
            <w:tcW w:w="2101" w:type="dxa"/>
            <w:shd w:val="clear" w:color="auto" w:fill="FFFFFF"/>
            <w:vAlign w:val="center"/>
          </w:tcPr>
          <w:p>
            <w:pPr>
              <w:pStyle w:val="19"/>
              <w:snapToGrid w:val="0"/>
              <w:spacing w:before="156" w:beforeLines="50" w:line="360" w:lineRule="auto"/>
              <w:ind w:right="148"/>
              <w:jc w:val="center"/>
              <w:rPr>
                <w:rFonts w:ascii="Times New Roman" w:hAnsi="Times New Roman" w:cs="Times New Roman"/>
                <w:b/>
                <w:color w:val="000000"/>
                <w:szCs w:val="21"/>
                <w:lang w:val="en-US"/>
              </w:rPr>
            </w:pPr>
            <w:r>
              <w:rPr>
                <w:rFonts w:ascii="Times New Roman" w:hAnsi="Times New Roman" w:cs="Times New Roman"/>
                <w:b/>
                <w:color w:val="000000"/>
                <w:szCs w:val="21"/>
              </w:rPr>
              <w:t>技术规格、参数及要求</w:t>
            </w:r>
          </w:p>
        </w:tc>
        <w:tc>
          <w:tcPr>
            <w:tcW w:w="1065" w:type="dxa"/>
            <w:shd w:val="clear" w:color="auto" w:fill="FFFFFF"/>
            <w:vAlign w:val="center"/>
          </w:tcPr>
          <w:p>
            <w:pPr>
              <w:pStyle w:val="19"/>
              <w:snapToGrid w:val="0"/>
              <w:spacing w:before="156" w:beforeLines="50" w:line="360" w:lineRule="auto"/>
              <w:ind w:right="185"/>
              <w:jc w:val="center"/>
              <w:rPr>
                <w:rFonts w:ascii="Times New Roman" w:hAnsi="Times New Roman" w:cs="Times New Roman"/>
                <w:b/>
                <w:color w:val="000000"/>
                <w:szCs w:val="21"/>
                <w:lang w:val="en-US"/>
              </w:rPr>
            </w:pPr>
            <w:r>
              <w:rPr>
                <w:rFonts w:ascii="Times New Roman" w:hAnsi="Times New Roman" w:cs="Times New Roman"/>
                <w:b/>
                <w:color w:val="000000"/>
                <w:szCs w:val="21"/>
              </w:rPr>
              <w:t>品目预</w:t>
            </w:r>
            <w:r>
              <w:rPr>
                <w:rFonts w:ascii="Times New Roman" w:hAnsi="Times New Roman" w:cs="Times New Roman"/>
                <w:b/>
                <w:color w:val="000000"/>
                <w:w w:val="105"/>
                <w:szCs w:val="21"/>
              </w:rPr>
              <w:t>算(元)</w:t>
            </w:r>
          </w:p>
        </w:tc>
        <w:tc>
          <w:tcPr>
            <w:tcW w:w="1224" w:type="dxa"/>
            <w:shd w:val="clear" w:color="auto" w:fill="FFFFFF"/>
            <w:vAlign w:val="center"/>
          </w:tcPr>
          <w:p>
            <w:pPr>
              <w:pStyle w:val="19"/>
              <w:snapToGrid w:val="0"/>
              <w:spacing w:before="156" w:beforeLines="50" w:line="360" w:lineRule="auto"/>
              <w:ind w:right="97"/>
              <w:jc w:val="center"/>
              <w:rPr>
                <w:rFonts w:ascii="Times New Roman" w:hAnsi="Times New Roman" w:cs="Times New Roman"/>
                <w:b/>
                <w:color w:val="000000"/>
                <w:szCs w:val="21"/>
                <w:lang w:val="en-US"/>
              </w:rPr>
            </w:pPr>
            <w:r>
              <w:rPr>
                <w:rFonts w:ascii="Times New Roman" w:hAnsi="Times New Roman" w:cs="Times New Roman"/>
                <w:b/>
                <w:color w:val="000000"/>
                <w:szCs w:val="21"/>
                <w:lang w:val="en-US"/>
              </w:rPr>
              <w:t>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08" w:type="dxa"/>
            <w:vAlign w:val="center"/>
          </w:tcPr>
          <w:p>
            <w:pPr>
              <w:jc w:val="center"/>
              <w:rPr>
                <w:i w:val="0"/>
                <w:iCs w:val="0"/>
                <w:color w:val="000000"/>
                <w:kern w:val="0"/>
                <w:sz w:val="24"/>
                <w:szCs w:val="24"/>
              </w:rPr>
            </w:pPr>
            <w:r>
              <w:rPr>
                <w:b/>
                <w:bCs/>
                <w:i w:val="0"/>
                <w:iCs w:val="0"/>
                <w:color w:val="000000"/>
                <w:szCs w:val="21"/>
              </w:rPr>
              <w:t>C04019900</w:t>
            </w:r>
          </w:p>
        </w:tc>
        <w:tc>
          <w:tcPr>
            <w:tcW w:w="1077" w:type="dxa"/>
            <w:vAlign w:val="center"/>
          </w:tcPr>
          <w:p>
            <w:pPr>
              <w:pStyle w:val="12"/>
              <w:snapToGrid w:val="0"/>
              <w:spacing w:line="360" w:lineRule="auto"/>
              <w:ind w:firstLine="0" w:firstLineChars="0"/>
              <w:jc w:val="center"/>
              <w:rPr>
                <w:rFonts w:hint="default" w:ascii="Times New Roman" w:hAnsi="Times New Roman" w:eastAsia="宋体"/>
                <w:b/>
                <w:bCs/>
                <w:i w:val="0"/>
                <w:iCs w:val="0"/>
                <w:color w:val="000000"/>
                <w:sz w:val="21"/>
                <w:szCs w:val="21"/>
                <w:lang w:val="en-US" w:bidi="ar-SA"/>
              </w:rPr>
            </w:pPr>
            <w:r>
              <w:rPr>
                <w:rFonts w:ascii="Times New Roman" w:hAnsi="Times New Roman" w:eastAsia="宋体"/>
                <w:b/>
                <w:bCs/>
                <w:i w:val="0"/>
                <w:iCs w:val="0"/>
                <w:color w:val="000000"/>
                <w:sz w:val="21"/>
                <w:szCs w:val="21"/>
                <w:lang w:val="en-US" w:bidi="ar-SA"/>
              </w:rPr>
              <w:t>其他医院服务</w:t>
            </w:r>
          </w:p>
        </w:tc>
        <w:tc>
          <w:tcPr>
            <w:tcW w:w="1000" w:type="dxa"/>
            <w:vAlign w:val="center"/>
          </w:tcPr>
          <w:p>
            <w:pPr>
              <w:pStyle w:val="12"/>
              <w:snapToGrid w:val="0"/>
              <w:spacing w:line="360" w:lineRule="auto"/>
              <w:ind w:firstLine="0" w:firstLineChars="0"/>
              <w:jc w:val="center"/>
              <w:rPr>
                <w:rFonts w:hint="default" w:ascii="Times New Roman" w:hAnsi="Times New Roman" w:eastAsia="宋体"/>
                <w:b/>
                <w:bCs/>
                <w:color w:val="000000"/>
                <w:sz w:val="21"/>
                <w:szCs w:val="21"/>
                <w:lang w:val="en-US" w:bidi="ar-SA"/>
              </w:rPr>
            </w:pPr>
            <w:r>
              <w:rPr>
                <w:rFonts w:ascii="Times New Roman" w:hAnsi="Times New Roman" w:eastAsia="宋体"/>
                <w:b/>
                <w:bCs/>
                <w:i w:val="0"/>
                <w:iCs w:val="0"/>
                <w:color w:val="000000"/>
                <w:sz w:val="21"/>
                <w:szCs w:val="21"/>
                <w:lang w:val="en-US" w:bidi="ar-SA"/>
              </w:rPr>
              <w:t>检验外送服务采购项目</w:t>
            </w:r>
          </w:p>
        </w:tc>
        <w:tc>
          <w:tcPr>
            <w:tcW w:w="842" w:type="dxa"/>
            <w:vAlign w:val="center"/>
          </w:tcPr>
          <w:p>
            <w:pPr>
              <w:pStyle w:val="12"/>
              <w:snapToGrid w:val="0"/>
              <w:spacing w:line="360" w:lineRule="auto"/>
              <w:ind w:firstLine="0" w:firstLineChars="0"/>
              <w:jc w:val="center"/>
              <w:rPr>
                <w:rFonts w:hint="default" w:ascii="Times New Roman" w:hAnsi="Times New Roman" w:eastAsia="宋体"/>
                <w:b/>
                <w:bCs/>
                <w:i w:val="0"/>
                <w:iCs w:val="0"/>
                <w:color w:val="000000"/>
                <w:sz w:val="21"/>
                <w:szCs w:val="21"/>
                <w:lang w:val="en-US" w:bidi="ar-SA"/>
              </w:rPr>
            </w:pPr>
            <w:r>
              <w:rPr>
                <w:rFonts w:ascii="Times New Roman" w:hAnsi="Times New Roman" w:eastAsia="宋体"/>
                <w:b/>
                <w:bCs/>
                <w:i w:val="0"/>
                <w:iCs w:val="0"/>
                <w:color w:val="000000"/>
                <w:sz w:val="21"/>
                <w:szCs w:val="21"/>
                <w:lang w:val="en-US" w:bidi="ar-SA"/>
              </w:rPr>
              <w:t>1项</w:t>
            </w:r>
          </w:p>
        </w:tc>
        <w:tc>
          <w:tcPr>
            <w:tcW w:w="2101" w:type="dxa"/>
            <w:vAlign w:val="center"/>
          </w:tcPr>
          <w:p>
            <w:pPr>
              <w:pStyle w:val="12"/>
              <w:snapToGrid w:val="0"/>
              <w:spacing w:line="360" w:lineRule="auto"/>
              <w:ind w:firstLine="0" w:firstLineChars="0"/>
              <w:jc w:val="center"/>
              <w:rPr>
                <w:rFonts w:hint="default" w:ascii="Times New Roman" w:hAnsi="Times New Roman" w:eastAsia="宋体"/>
                <w:b/>
                <w:bCs/>
                <w:i w:val="0"/>
                <w:iCs w:val="0"/>
                <w:color w:val="000000"/>
                <w:sz w:val="21"/>
                <w:szCs w:val="21"/>
                <w:lang w:val="en-US" w:bidi="ar-SA"/>
              </w:rPr>
            </w:pPr>
            <w:r>
              <w:rPr>
                <w:rFonts w:ascii="Times New Roman" w:hAnsi="Times New Roman" w:eastAsia="宋体"/>
                <w:b/>
                <w:bCs/>
                <w:i w:val="0"/>
                <w:iCs w:val="0"/>
                <w:color w:val="000000"/>
                <w:sz w:val="21"/>
                <w:szCs w:val="21"/>
                <w:lang w:val="en-US" w:bidi="ar-SA"/>
              </w:rPr>
              <w:t>详见采购方案第三条</w:t>
            </w:r>
          </w:p>
        </w:tc>
        <w:tc>
          <w:tcPr>
            <w:tcW w:w="1065" w:type="dxa"/>
            <w:vAlign w:val="center"/>
          </w:tcPr>
          <w:p>
            <w:pPr>
              <w:pStyle w:val="12"/>
              <w:snapToGrid w:val="0"/>
              <w:spacing w:line="360" w:lineRule="auto"/>
              <w:ind w:firstLine="0" w:firstLineChars="0"/>
              <w:jc w:val="center"/>
              <w:rPr>
                <w:rFonts w:hint="default" w:ascii="Times New Roman" w:hAnsi="Times New Roman" w:eastAsia="宋体"/>
                <w:b/>
                <w:bCs/>
                <w:color w:val="000000"/>
                <w:sz w:val="21"/>
                <w:szCs w:val="21"/>
                <w:lang w:val="en-US" w:bidi="ar-SA"/>
              </w:rPr>
            </w:pPr>
            <w:r>
              <w:rPr>
                <w:rFonts w:ascii="Times New Roman" w:hAnsi="Times New Roman" w:eastAsia="宋体"/>
                <w:b/>
                <w:bCs/>
                <w:i w:val="0"/>
                <w:iCs w:val="0"/>
                <w:color w:val="000000"/>
                <w:sz w:val="21"/>
                <w:szCs w:val="21"/>
                <w:lang w:val="en-US" w:bidi="ar-SA"/>
              </w:rPr>
              <w:t>人民币35万元</w:t>
            </w:r>
          </w:p>
        </w:tc>
        <w:tc>
          <w:tcPr>
            <w:tcW w:w="1224" w:type="dxa"/>
            <w:vAlign w:val="center"/>
          </w:tcPr>
          <w:p>
            <w:pPr>
              <w:pStyle w:val="12"/>
              <w:snapToGrid w:val="0"/>
              <w:spacing w:line="360" w:lineRule="auto"/>
              <w:ind w:firstLine="0" w:firstLineChars="0"/>
              <w:jc w:val="center"/>
              <w:rPr>
                <w:rFonts w:hint="default" w:ascii="Times New Roman" w:hAnsi="Times New Roman" w:eastAsia="宋体"/>
                <w:b/>
                <w:bCs/>
                <w:color w:val="000000"/>
                <w:sz w:val="21"/>
                <w:szCs w:val="21"/>
                <w:lang w:val="en-US" w:bidi="ar-SA"/>
              </w:rPr>
            </w:pPr>
            <w:r>
              <w:rPr>
                <w:rFonts w:hint="default" w:ascii="Times New Roman" w:hAnsi="Times New Roman" w:eastAsia="宋体"/>
                <w:b/>
                <w:bCs/>
                <w:i w:val="0"/>
                <w:iCs w:val="0"/>
                <w:color w:val="000000"/>
                <w:sz w:val="21"/>
                <w:szCs w:val="21"/>
                <w:lang w:val="en-US" w:bidi="ar-SA"/>
              </w:rPr>
              <w:t>0</w:t>
            </w:r>
            <w:r>
              <w:rPr>
                <w:rFonts w:ascii="Times New Roman" w:hAnsi="Times New Roman" w:eastAsia="宋体"/>
                <w:b/>
                <w:bCs/>
                <w:i w:val="0"/>
                <w:iCs w:val="0"/>
                <w:color w:val="000000"/>
                <w:sz w:val="21"/>
                <w:szCs w:val="21"/>
                <w:lang w:val="en-US" w:bidi="ar-SA"/>
              </w:rPr>
              <w:t>＜折扣≤</w:t>
            </w:r>
            <w:r>
              <w:rPr>
                <w:rFonts w:hint="default" w:ascii="Times New Roman" w:hAnsi="Times New Roman" w:eastAsia="宋体"/>
                <w:b/>
                <w:bCs/>
                <w:i w:val="0"/>
                <w:iCs w:val="0"/>
                <w:color w:val="000000"/>
                <w:sz w:val="21"/>
                <w:szCs w:val="21"/>
                <w:lang w:val="en-US" w:bidi="ar-SA"/>
              </w:rPr>
              <w:t>35%</w:t>
            </w:r>
          </w:p>
        </w:tc>
      </w:tr>
    </w:tbl>
    <w:p>
      <w:pPr>
        <w:tabs>
          <w:tab w:val="left" w:pos="0"/>
          <w:tab w:val="left" w:pos="851"/>
        </w:tabs>
        <w:autoSpaceDE w:val="0"/>
        <w:autoSpaceDN w:val="0"/>
        <w:adjustRightInd w:val="0"/>
        <w:snapToGrid w:val="0"/>
        <w:spacing w:line="560" w:lineRule="exact"/>
        <w:outlineLvl w:val="5"/>
        <w:rPr>
          <w:b/>
          <w:bCs/>
          <w:sz w:val="32"/>
          <w:szCs w:val="32"/>
        </w:rPr>
      </w:pPr>
      <w:r>
        <w:rPr>
          <w:b/>
          <w:bCs/>
          <w:sz w:val="32"/>
          <w:szCs w:val="32"/>
        </w:rPr>
        <w:t>注：</w:t>
      </w:r>
    </w:p>
    <w:p>
      <w:pPr>
        <w:widowControl/>
        <w:tabs>
          <w:tab w:val="left" w:pos="0"/>
          <w:tab w:val="left" w:pos="851"/>
        </w:tabs>
        <w:autoSpaceDE w:val="0"/>
        <w:autoSpaceDN w:val="0"/>
        <w:adjustRightInd w:val="0"/>
        <w:snapToGrid w:val="0"/>
        <w:spacing w:line="360" w:lineRule="auto"/>
        <w:ind w:firstLine="420" w:firstLineChars="200"/>
        <w:outlineLvl w:val="2"/>
        <w:rPr>
          <w:szCs w:val="24"/>
          <w:lang w:bidi="zh-CN"/>
        </w:rPr>
      </w:pPr>
      <w:r>
        <w:rPr>
          <w:szCs w:val="24"/>
          <w:lang w:bidi="zh-CN"/>
        </w:rPr>
        <w:t>★1.对本项目所有检验项目清单提供统一的折扣，折扣应不大于35%。</w:t>
      </w:r>
      <w:r>
        <w:rPr>
          <w:szCs w:val="24"/>
        </w:rPr>
        <w:t>响应供应商只需要报折扣，不需要报出总价。</w:t>
      </w:r>
    </w:p>
    <w:p>
      <w:pPr>
        <w:tabs>
          <w:tab w:val="left" w:pos="0"/>
          <w:tab w:val="left" w:pos="851"/>
        </w:tabs>
        <w:autoSpaceDE w:val="0"/>
        <w:autoSpaceDN w:val="0"/>
        <w:adjustRightInd w:val="0"/>
        <w:snapToGrid w:val="0"/>
        <w:spacing w:line="360" w:lineRule="auto"/>
        <w:ind w:firstLine="420" w:firstLineChars="200"/>
        <w:outlineLvl w:val="2"/>
        <w:rPr>
          <w:szCs w:val="24"/>
        </w:rPr>
      </w:pPr>
      <w:r>
        <w:rPr>
          <w:szCs w:val="24"/>
          <w:lang w:bidi="zh-CN"/>
        </w:rPr>
        <w:t>2.检验项目收费按照最新的《广州地区公立医疗机构基本医疗服务价格目录》为依据</w:t>
      </w:r>
      <w:r>
        <w:rPr>
          <w:szCs w:val="24"/>
        </w:rPr>
        <w:t>。</w:t>
      </w:r>
    </w:p>
    <w:p>
      <w:pPr>
        <w:tabs>
          <w:tab w:val="left" w:pos="0"/>
          <w:tab w:val="left" w:pos="851"/>
        </w:tabs>
        <w:autoSpaceDE w:val="0"/>
        <w:autoSpaceDN w:val="0"/>
        <w:adjustRightInd w:val="0"/>
        <w:snapToGrid w:val="0"/>
        <w:spacing w:line="360" w:lineRule="auto"/>
        <w:ind w:firstLine="420" w:firstLineChars="200"/>
        <w:outlineLvl w:val="2"/>
        <w:rPr>
          <w:color w:val="000000"/>
          <w:sz w:val="24"/>
          <w:szCs w:val="24"/>
        </w:rPr>
      </w:pPr>
      <w:r>
        <w:rPr>
          <w:szCs w:val="24"/>
        </w:rPr>
        <w:t>3.本项目暂定总价等于采购预算金额，即合同暂定总价（采购预算金额）为：35万元，实际的检测费用以最终检测数量为准，按照实际检测数量结算。包括但不限于：完成本次</w:t>
      </w:r>
      <w:r>
        <w:rPr>
          <w:rFonts w:hint="eastAsia"/>
          <w:szCs w:val="24"/>
          <w:lang w:eastAsia="zh-CN"/>
        </w:rPr>
        <w:t>比选</w:t>
      </w:r>
      <w:r>
        <w:rPr>
          <w:szCs w:val="24"/>
        </w:rPr>
        <w:t>所有服务内容的费用，包括人工费、检验费、材料费、设备使用费、LIS/HIS对接费用、运输费、各种税务费、必须的辅助材料费如条形码、采样管、标本接收袋、采集拭子等及合同实施过程中不可预见费用等全部费用。</w:t>
      </w:r>
    </w:p>
    <w:p>
      <w:pPr>
        <w:snapToGrid w:val="0"/>
        <w:spacing w:line="360" w:lineRule="auto"/>
        <w:ind w:firstLine="420" w:firstLineChars="200"/>
        <w:rPr>
          <w:color w:val="000000"/>
          <w:szCs w:val="21"/>
        </w:rPr>
      </w:pPr>
      <w:r>
        <w:rPr>
          <w:szCs w:val="24"/>
          <w:lang w:bidi="zh-CN"/>
        </w:rPr>
        <w:t>4.本采</w:t>
      </w:r>
      <w:r>
        <w:rPr>
          <w:color w:val="000000"/>
          <w:szCs w:val="21"/>
        </w:rPr>
        <w:t>购包不接受联合体响应。中选人不得将本项目分包/转包。</w:t>
      </w:r>
    </w:p>
    <w:p>
      <w:pPr>
        <w:snapToGrid w:val="0"/>
        <w:spacing w:line="360" w:lineRule="auto"/>
        <w:ind w:firstLine="420" w:firstLineChars="200"/>
      </w:pPr>
      <w:r>
        <w:rPr>
          <w:szCs w:val="24"/>
          <w:lang w:bidi="zh-CN"/>
        </w:rPr>
        <w:t>5.合</w:t>
      </w:r>
      <w:r>
        <w:rPr>
          <w:color w:val="000000"/>
          <w:szCs w:val="21"/>
        </w:rPr>
        <w:t>同履行期限：服务期1年</w:t>
      </w:r>
      <w:r>
        <w:rPr>
          <w:rFonts w:hint="eastAsia"/>
          <w:color w:val="000000"/>
          <w:szCs w:val="21"/>
          <w:lang w:eastAsia="zh-CN"/>
        </w:rPr>
        <w:t>，</w:t>
      </w:r>
      <w:r>
        <w:rPr>
          <w:rFonts w:hint="eastAsia"/>
          <w:color w:val="000000"/>
          <w:szCs w:val="21"/>
          <w:lang w:val="en-US" w:eastAsia="zh-CN"/>
        </w:rPr>
        <w:t>自2025年7月31日至2026年7月30日止，</w:t>
      </w:r>
      <w:r>
        <w:rPr>
          <w:color w:val="000000"/>
          <w:szCs w:val="21"/>
        </w:rPr>
        <w:t>或服务期内结算金额达到合同金额则服务提前终止。</w:t>
      </w:r>
    </w:p>
    <w:p>
      <w:pPr>
        <w:pStyle w:val="6"/>
        <w:snapToGrid w:val="0"/>
        <w:spacing w:before="103" w:line="360" w:lineRule="auto"/>
        <w:rPr>
          <w:rFonts w:hint="default" w:ascii="Times New Roman" w:hAnsi="Times New Roman" w:eastAsia="宋体"/>
          <w:b/>
          <w:bCs/>
          <w:color w:val="000000"/>
          <w:sz w:val="21"/>
          <w:szCs w:val="21"/>
          <w:lang w:val="en-US"/>
        </w:rPr>
      </w:pPr>
      <w:r>
        <w:rPr>
          <w:rFonts w:hint="default" w:ascii="Times New Roman" w:hAnsi="Times New Roman" w:eastAsia="宋体"/>
          <w:b/>
          <w:bCs/>
          <w:color w:val="000000"/>
          <w:sz w:val="21"/>
          <w:szCs w:val="21"/>
          <w:lang w:val="en-US"/>
        </w:rPr>
        <w:t>二、申请人的资格要求</w:t>
      </w:r>
    </w:p>
    <w:p>
      <w:pPr>
        <w:spacing w:line="360" w:lineRule="auto"/>
        <w:ind w:firstLine="540"/>
      </w:pPr>
      <w:r>
        <w:t>（一）中华人民共和国境内注册的法人或其他组织；分支机构响应的，必须由总公司（总所）授权【依据总公司（总所）的企业法人营业执照或事业法人登记证或其他组织的营业执照或执业许可证或居民身份证等相关证照的扫描件、分支机构的营业执照（执业许可证）扫描件及总公司（总所）出具给分支机构的授权书】。</w:t>
      </w:r>
    </w:p>
    <w:p>
      <w:pPr>
        <w:spacing w:line="360" w:lineRule="auto"/>
        <w:ind w:firstLine="540"/>
      </w:pPr>
      <w:r>
        <w:t xml:space="preserve">（二）供应商未被列入“信用中国”网站中“记录失信被执行人或重大税收违法失信主体或政府采购严重违法失信行为”的记录名单；不处于“中国政府采购网”中“政府采购严重违法失信行为信息记录”的禁止参加政府采购活动期间（以比选评审小组于资格审查时在上述网站查询结果为准，如在上述网站查询结果均显示没有相关记录，视为没有上述不良信用记录。同时对信用信息查询记录和证据截图存档。如相关失信记录已失效，比选申请人须提供相关证明资料）。 </w:t>
      </w:r>
    </w:p>
    <w:p>
      <w:pPr>
        <w:spacing w:line="360" w:lineRule="auto"/>
        <w:ind w:firstLine="540"/>
      </w:pPr>
      <w:r>
        <w:t>（三）本项目不接受联合体响应。</w:t>
      </w:r>
    </w:p>
    <w:p>
      <w:pPr>
        <w:spacing w:line="360" w:lineRule="auto"/>
        <w:ind w:firstLine="540"/>
      </w:pPr>
      <w:r>
        <w:t>（</w:t>
      </w:r>
      <w:r>
        <w:rPr>
          <w:rFonts w:hint="eastAsia"/>
        </w:rPr>
        <w:t>四</w:t>
      </w:r>
      <w:r>
        <w:t>）本项目特定资格要求：</w:t>
      </w:r>
    </w:p>
    <w:p>
      <w:pPr>
        <w:spacing w:line="360" w:lineRule="auto"/>
        <w:ind w:firstLine="540"/>
      </w:pPr>
      <w:r>
        <w:rPr>
          <w:rFonts w:hint="eastAsia"/>
        </w:rPr>
        <w:t>1</w:t>
      </w:r>
      <w:r>
        <w:t>. 比选申请人具有卫生部门核发且在有效期内的《医疗机构执业许可证》，诊疗科目应包含医学检验科。</w:t>
      </w:r>
    </w:p>
    <w:p>
      <w:pPr>
        <w:spacing w:line="360" w:lineRule="auto"/>
        <w:ind w:firstLine="540"/>
      </w:pPr>
      <w:r>
        <w:rPr>
          <w:rFonts w:hint="eastAsia"/>
        </w:rPr>
        <w:t>2</w:t>
      </w:r>
      <w:r>
        <w:t>. 具备临床基因扩增检验（PCR）实验室技术审核验收合格证书。</w:t>
      </w:r>
    </w:p>
    <w:p>
      <w:pPr>
        <w:spacing w:before="156" w:beforeLines="50" w:after="156" w:afterLines="50" w:line="30" w:lineRule="atLeast"/>
        <w:rPr>
          <w:b/>
          <w:bCs/>
          <w:color w:val="000000"/>
          <w:szCs w:val="21"/>
        </w:rPr>
      </w:pPr>
      <w:r>
        <w:rPr>
          <w:b/>
          <w:bCs/>
          <w:color w:val="000000"/>
          <w:szCs w:val="21"/>
        </w:rPr>
        <w:t>三、采购需求</w:t>
      </w:r>
    </w:p>
    <w:p>
      <w:pPr>
        <w:pStyle w:val="6"/>
        <w:ind w:firstLine="422" w:firstLineChars="200"/>
        <w:rPr>
          <w:rFonts w:hint="default" w:ascii="Times New Roman" w:hAnsi="Times New Roman" w:eastAsia="宋体"/>
          <w:lang w:val="en-US"/>
        </w:rPr>
      </w:pPr>
      <w:r>
        <w:rPr>
          <w:rFonts w:hint="default" w:ascii="Times New Roman" w:hAnsi="Times New Roman" w:eastAsia="宋体"/>
          <w:b/>
          <w:bCs/>
          <w:color w:val="000000"/>
          <w:sz w:val="21"/>
          <w:szCs w:val="21"/>
          <w:lang w:val="en-US" w:bidi="ar-SA"/>
        </w:rPr>
        <w:t>（一）有关说明：</w:t>
      </w:r>
    </w:p>
    <w:p>
      <w:pPr>
        <w:pStyle w:val="6"/>
        <w:rPr>
          <w:rFonts w:hint="default" w:ascii="Times New Roman" w:hAnsi="Times New Roman" w:eastAsia="宋体"/>
          <w:sz w:val="21"/>
          <w:szCs w:val="21"/>
          <w:lang w:val="en-US" w:bidi="ar-SA"/>
        </w:rPr>
      </w:pPr>
      <w:r>
        <w:rPr>
          <w:rFonts w:hint="default" w:ascii="Times New Roman" w:hAnsi="Times New Roman" w:eastAsia="宋体"/>
          <w:b/>
          <w:bCs/>
          <w:color w:val="000000"/>
          <w:szCs w:val="21"/>
          <w:lang w:val="en-US"/>
        </w:rPr>
        <w:t xml:space="preserve">  </w:t>
      </w:r>
      <w:r>
        <w:rPr>
          <w:rFonts w:hint="default" w:ascii="Times New Roman" w:hAnsi="Times New Roman" w:eastAsia="宋体"/>
          <w:color w:val="000000"/>
          <w:sz w:val="21"/>
          <w:szCs w:val="21"/>
          <w:lang w:val="en-US" w:bidi="ar-SA"/>
        </w:rPr>
        <w:t xml:space="preserve"> 1.</w:t>
      </w:r>
      <w:r>
        <w:rPr>
          <w:rFonts w:hint="default" w:ascii="Times New Roman" w:hAnsi="Times New Roman" w:eastAsia="宋体"/>
          <w:sz w:val="21"/>
          <w:szCs w:val="21"/>
          <w:lang w:val="en-US" w:bidi="ar-SA"/>
        </w:rPr>
        <w:t>供应商须对本项目的采购标的进行整体响应，任何只对本项目采购标的其中一部分内容、数量进行的响应都被视为无效响应。</w:t>
      </w:r>
    </w:p>
    <w:p>
      <w:pPr>
        <w:spacing w:line="360" w:lineRule="auto"/>
        <w:ind w:firstLine="420" w:firstLineChars="200"/>
        <w:rPr>
          <w:szCs w:val="21"/>
        </w:rPr>
      </w:pPr>
      <w:r>
        <w:rPr>
          <w:szCs w:val="21"/>
        </w:rPr>
        <w:t>2.采购需求中标注“★”号条款为实质性条款（如有），必须逐条进行响应，有任何一条负偏离的，将导致</w:t>
      </w:r>
      <w:r>
        <w:t>比选（响应）无效</w:t>
      </w:r>
      <w:r>
        <w:rPr>
          <w:szCs w:val="21"/>
        </w:rPr>
        <w:t>。</w:t>
      </w:r>
    </w:p>
    <w:p>
      <w:pPr>
        <w:spacing w:line="360" w:lineRule="auto"/>
        <w:ind w:firstLine="420" w:firstLineChars="200"/>
        <w:rPr>
          <w:szCs w:val="21"/>
        </w:rPr>
      </w:pPr>
      <w:r>
        <w:rPr>
          <w:szCs w:val="21"/>
        </w:rPr>
        <w:t>3.采购需求中标注“▲”号条款为重要技术参数（如有），</w:t>
      </w:r>
      <w:r>
        <w:t>将根据评审要求影响其得分，但不作为无效比选（响应）条款。</w:t>
      </w:r>
    </w:p>
    <w:p>
      <w:pPr>
        <w:ind w:firstLine="420" w:firstLineChars="200"/>
        <w:rPr>
          <w:szCs w:val="21"/>
        </w:rPr>
      </w:pPr>
      <w:r>
        <w:rPr>
          <w:szCs w:val="21"/>
        </w:rPr>
        <w:t>★</w:t>
      </w:r>
      <w:r>
        <w:rPr>
          <w:rFonts w:hint="eastAsia"/>
          <w:szCs w:val="21"/>
        </w:rPr>
        <w:t>4</w:t>
      </w:r>
      <w:r>
        <w:rPr>
          <w:szCs w:val="21"/>
        </w:rPr>
        <w:t>.请供应商在比选文件中提供《</w:t>
      </w:r>
      <w:r>
        <w:t>响应承诺函</w:t>
      </w:r>
      <w:r>
        <w:rPr>
          <w:szCs w:val="21"/>
        </w:rPr>
        <w:t>》。</w:t>
      </w:r>
    </w:p>
    <w:p>
      <w:pPr>
        <w:ind w:firstLine="420" w:firstLineChars="200"/>
        <w:rPr>
          <w:szCs w:val="21"/>
        </w:rPr>
      </w:pPr>
      <w:r>
        <w:rPr>
          <w:szCs w:val="21"/>
        </w:rPr>
        <w:t>★</w:t>
      </w:r>
      <w:r>
        <w:rPr>
          <w:rFonts w:hint="eastAsia"/>
          <w:szCs w:val="21"/>
        </w:rPr>
        <w:t>5</w:t>
      </w:r>
      <w:r>
        <w:rPr>
          <w:szCs w:val="21"/>
        </w:rPr>
        <w:t>.请供应商在比选文件中提供</w:t>
      </w:r>
      <w:r>
        <w:rPr>
          <w:rFonts w:hint="eastAsia"/>
          <w:szCs w:val="21"/>
        </w:rPr>
        <w:t>《</w:t>
      </w:r>
      <w:r>
        <w:t>比选申请人廉洁承诺书</w:t>
      </w:r>
      <w:r>
        <w:rPr>
          <w:rFonts w:hint="eastAsia"/>
          <w:szCs w:val="21"/>
        </w:rPr>
        <w:t>》</w:t>
      </w:r>
      <w:r>
        <w:rPr>
          <w:szCs w:val="21"/>
        </w:rPr>
        <w:t>。</w:t>
      </w:r>
    </w:p>
    <w:p>
      <w:pPr>
        <w:spacing w:before="156" w:beforeLines="50" w:after="156" w:afterLines="50" w:line="30" w:lineRule="atLeast"/>
        <w:ind w:firstLine="641" w:firstLineChars="304"/>
      </w:pPr>
      <w:r>
        <w:rPr>
          <w:b/>
          <w:bCs/>
        </w:rPr>
        <w:t>（二）项目基本概况</w:t>
      </w:r>
    </w:p>
    <w:p>
      <w:pPr>
        <w:pStyle w:val="6"/>
        <w:spacing w:line="360" w:lineRule="auto"/>
        <w:ind w:firstLine="420" w:firstLineChars="200"/>
        <w:rPr>
          <w:rFonts w:hint="default" w:ascii="Times New Roman" w:hAnsi="Times New Roman" w:eastAsia="宋体"/>
          <w:sz w:val="21"/>
          <w:szCs w:val="21"/>
          <w:lang w:val="en-US" w:bidi="ar-SA"/>
        </w:rPr>
      </w:pPr>
      <w:r>
        <w:rPr>
          <w:rFonts w:hint="default" w:ascii="Times New Roman" w:hAnsi="Times New Roman" w:eastAsia="宋体"/>
          <w:sz w:val="21"/>
          <w:szCs w:val="21"/>
          <w:lang w:val="en-US" w:bidi="ar-SA"/>
        </w:rPr>
        <w:t>本项目检验项目清单详见附表1。</w:t>
      </w:r>
    </w:p>
    <w:p>
      <w:pPr>
        <w:pStyle w:val="6"/>
        <w:spacing w:line="360" w:lineRule="auto"/>
        <w:ind w:firstLine="420" w:firstLineChars="200"/>
        <w:jc w:val="center"/>
        <w:rPr>
          <w:rFonts w:hint="default" w:ascii="Times New Roman" w:hAnsi="Times New Roman" w:eastAsia="宋体"/>
          <w:sz w:val="21"/>
          <w:szCs w:val="21"/>
          <w:lang w:val="en-US" w:bidi="ar-SA"/>
        </w:rPr>
      </w:pPr>
      <w:r>
        <w:rPr>
          <w:rFonts w:hint="default" w:ascii="Times New Roman" w:hAnsi="Times New Roman" w:eastAsia="宋体"/>
          <w:sz w:val="21"/>
          <w:szCs w:val="21"/>
          <w:lang w:val="en-US" w:bidi="ar-SA"/>
        </w:rPr>
        <w:t>附表1 检验项目清单</w:t>
      </w:r>
    </w:p>
    <w:tbl>
      <w:tblPr>
        <w:tblStyle w:val="13"/>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729"/>
        <w:gridCol w:w="389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textAlignment w:val="center"/>
              <w:rPr>
                <w:b/>
                <w:sz w:val="24"/>
                <w:szCs w:val="24"/>
              </w:rPr>
            </w:pPr>
            <w:r>
              <w:rPr>
                <w:b/>
                <w:sz w:val="24"/>
                <w:szCs w:val="24"/>
              </w:rPr>
              <w:t>序号</w:t>
            </w: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textAlignment w:val="center"/>
              <w:rPr>
                <w:b/>
                <w:sz w:val="24"/>
                <w:szCs w:val="24"/>
              </w:rPr>
            </w:pPr>
            <w:r>
              <w:rPr>
                <w:b/>
                <w:sz w:val="24"/>
                <w:szCs w:val="24"/>
              </w:rPr>
              <w:t>项目名称</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textAlignment w:val="center"/>
              <w:rPr>
                <w:b/>
                <w:sz w:val="24"/>
                <w:szCs w:val="24"/>
              </w:rPr>
            </w:pPr>
            <w:r>
              <w:rPr>
                <w:b/>
                <w:sz w:val="24"/>
                <w:szCs w:val="24"/>
              </w:rPr>
              <w:t>细项</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textAlignment w:val="center"/>
              <w:rPr>
                <w:b/>
                <w:sz w:val="24"/>
                <w:szCs w:val="24"/>
              </w:rPr>
            </w:pPr>
            <w:r>
              <w:rPr>
                <w:b/>
                <w:sz w:val="24"/>
                <w:szCs w:val="24"/>
              </w:rPr>
              <w:t>出报告时间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凝血四项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凝血酶原时间（PT）、国际标准化比值（INR）、活化部分凝血活酶时间（APTT）、凝血酶时间（TT）、纤维蛋白原（Fg）</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≤2天</w:t>
            </w:r>
          </w:p>
          <w:p>
            <w:pPr>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凝血五项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凝血四项</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c>
          <w:tcPr>
            <w:tcW w:w="272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szCs w:val="18"/>
              </w:rPr>
            </w:pP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D-二聚体定量（DD）</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肿瘤两项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甲胎蛋白（AFP）、癌胚抗原（CEA）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糖尿病两项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胰岛素、C肽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风湿二项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类风湿因子(RF)、抗链球菌溶血素O（ASO）</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甲功五项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三碘甲状原氨酸(T3)、甲状腺素(T4)、游离三碘甲状原氨酸(FT3)、游离甲状腺素(FT4)、促甲状腺激素（TSH）</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甲苯胺红梅毒血清学试验定性（TRUST）</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甲苯胺红不加热反应试验（TRUST）</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梅毒螺旋体特异抗体定性测定(TPPA)</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梅毒螺旋体特异抗体（TPPA）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艾滋病病毒抗体测定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艾滋病病毒抗体</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丙型肝炎病毒抗体IgM</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丙型肝炎病毒抗体IgM</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丙型肝炎病毒抗体IgG</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丙型肝炎病毒抗体IgG</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1"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乙肝两对半定性</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乙型肝炎表面抗原(HBsAg)</w:t>
            </w:r>
          </w:p>
          <w:p>
            <w:pPr>
              <w:jc w:val="center"/>
              <w:textAlignment w:val="center"/>
              <w:rPr>
                <w:sz w:val="18"/>
                <w:szCs w:val="18"/>
              </w:rPr>
            </w:pPr>
            <w:r>
              <w:rPr>
                <w:sz w:val="18"/>
                <w:szCs w:val="18"/>
              </w:rPr>
              <w:t>乙型肝炎表面抗体(Anti-HBs)</w:t>
            </w:r>
          </w:p>
          <w:p>
            <w:pPr>
              <w:jc w:val="center"/>
              <w:textAlignment w:val="center"/>
              <w:rPr>
                <w:sz w:val="18"/>
                <w:szCs w:val="18"/>
              </w:rPr>
            </w:pPr>
            <w:r>
              <w:rPr>
                <w:sz w:val="18"/>
                <w:szCs w:val="18"/>
              </w:rPr>
              <w:t>乙型肝炎e抗原(HBeAg))</w:t>
            </w:r>
          </w:p>
          <w:p>
            <w:pPr>
              <w:jc w:val="center"/>
              <w:textAlignment w:val="center"/>
              <w:rPr>
                <w:sz w:val="18"/>
                <w:szCs w:val="18"/>
              </w:rPr>
            </w:pPr>
            <w:r>
              <w:rPr>
                <w:sz w:val="18"/>
                <w:szCs w:val="18"/>
              </w:rPr>
              <w:t>乙型肝炎e抗体(Anti-HBe)</w:t>
            </w:r>
          </w:p>
          <w:p>
            <w:pPr>
              <w:jc w:val="center"/>
              <w:textAlignment w:val="center"/>
              <w:rPr>
                <w:sz w:val="18"/>
                <w:szCs w:val="18"/>
              </w:rPr>
            </w:pPr>
            <w:r>
              <w:rPr>
                <w:sz w:val="18"/>
                <w:szCs w:val="18"/>
              </w:rPr>
              <w:t>乙型肝炎核心抗体(Anti-HBc)</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糖类抗原CA19-9</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糖类抗原CA19-9</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糖类抗原CA72-4</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糖类抗原CA72-4</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糖类抗原CA153</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糖类抗原CA153</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糖类抗原CA125</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糖类抗原CA125</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糖类抗原CA50</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糖类抗原CA50</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骨质疏松二项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β－胶原降解产物（β－CTX）、骨钙素（OST）</w:t>
            </w:r>
          </w:p>
        </w:tc>
        <w:tc>
          <w:tcPr>
            <w:tcW w:w="1255"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免疫球蛋白IgG、IgA、IgM</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免疫球蛋白IgG、IgA、IgM</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贫血三项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维生素B12、叶酸、铁蛋白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促红细胞生成素测定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促红细胞生成素</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血管炎五项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P-ANCA、C-ANCA，ANCA-MPO，ANCA-PR3，ACA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结核抗体（TB-Ab）</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结核抗体（TB-Ab）</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军团菌抗体IgM</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军团菌抗体IgM</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抗双链DNA测定(抗dsDNA)</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抗双链DNA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抗核抗体测定(ANA)</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抗核抗体</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抗核小体抗体测定（AnuA）</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抗核小体抗体</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补体C3</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补体C3</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补体C4</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补体C4</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血同型半胱氨酸测定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血同型半胱氨酸</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肺炎支原体抗体二项IgM、IgG</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肺炎支原体抗体二项IgM、IgG</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肺炎衣原体抗体二项IgM、IgG</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肺炎衣原体抗体二项IgM、IgG</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血清肌红蛋白测定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肌红蛋白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降钙素原检测</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降钙素原</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血清肌钙蛋白T测定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肌钙蛋白T</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甲状腺自身抗体三项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抗甲状腺球蛋白抗体(TGAb)、抗甲状腺过氧化物酶抗体(TPOAb）、促甲状腺素受体抗体（TRAb）</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营养监测四项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前白蛋白、白蛋白、转铁蛋白、视黄醇结合蛋白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p>
          <w:p>
            <w:pPr>
              <w:jc w:val="center"/>
              <w:textAlignment w:val="center"/>
              <w:rPr>
                <w:sz w:val="18"/>
                <w:szCs w:val="18"/>
              </w:rPr>
            </w:pPr>
            <w:r>
              <w:rPr>
                <w:sz w:val="18"/>
                <w:szCs w:val="18"/>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超敏C-反应蛋白</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超敏C-反应蛋白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前列腺特异抗原二项</w:t>
            </w:r>
          </w:p>
        </w:tc>
        <w:tc>
          <w:tcPr>
            <w:tcW w:w="3891"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总前列腺特异性抗原(TPSA)、游离前列腺特异性抗原(FPSA)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p>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神经元特异性烯醇化酶测定(NSE)</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神经元特异性烯醇化酶(NSE)</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角蛋白抗原21-1(CYFRA21-1)</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角蛋白抗原21-1(CYFRA21-1)</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过敏原三项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过敏原三项(TIgE, hx2，fx5E)</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抗环瓜氨酸肽抗体(抗CCP抗体)测定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抗环瓜氨酸肽抗体</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25-羟基维生素D</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25-羟基维生素D2+25-羟基维生素D3</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无机磷测定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无机磷</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血浆皮质醇测定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皮质醇</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登革热IgG/IgM抗体检测</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登革热IgG/IgM抗体</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2"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性激素六项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促卵泡刺激素、促黄体生成素、雌二醇、孕酮、睾酮、泌乳素</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高血压五项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高血压五项（AI(37℃)、AI(4℃)、PRA、ALD、AngII）（坐位、卧位）</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EB病毒DNA(EB-DNA)定性</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EB病毒DNA(EB-DNA)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糖化血红蛋白测定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糖化血红蛋白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华法林敏感性检测</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华法林敏感性</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5-7天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恶性疟原虫抗原</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恶性疟原虫抗原</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血清促肾上腺皮质激素测定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促肾上腺皮质激素</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痰培养+药敏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痰培养+药敏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中段尿培养+菌落计数+药敏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中段尿培养+菌落计数+药敏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血培养（需氧）+药敏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血培养（需氧）+药敏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3天发初步报告；</w:t>
            </w:r>
          </w:p>
          <w:p>
            <w:pPr>
              <w:jc w:val="center"/>
              <w:rPr>
                <w:sz w:val="18"/>
                <w:szCs w:val="18"/>
              </w:rPr>
            </w:pPr>
            <w:r>
              <w:rPr>
                <w:sz w:val="18"/>
                <w:szCs w:val="18"/>
              </w:rPr>
              <w:t>6-7 天发最终报告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血培养（厌氧）+药敏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血培养（厌氧）+药敏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3天发初步报告；</w:t>
            </w:r>
          </w:p>
          <w:p>
            <w:pPr>
              <w:jc w:val="center"/>
              <w:rPr>
                <w:sz w:val="18"/>
                <w:szCs w:val="18"/>
              </w:rPr>
            </w:pPr>
            <w:r>
              <w:rPr>
                <w:sz w:val="18"/>
                <w:szCs w:val="18"/>
              </w:rPr>
              <w:t>6-7 天发最终报告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脓汁及创伤感染分泌物标本培养+药敏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脓汁及创伤感染分泌物标本培养+药敏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局部切除组织活检检查与诊断</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局部切除组织活检检查与诊断</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结核杆菌（TB-DNA）定性</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结核杆菌（TB-DNA）定性</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水痘-带状疱疹病毒（VZV-DNA）定性</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水痘-带状疱疹病毒（VZV-DNA）定性</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结核感染T细胞斑点实验（T-SPOT.TB）</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结核感染T细胞斑点实验（T-SPOT.TB）</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6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jc w:val="center"/>
              <w:textAlignment w:val="center"/>
              <w:rPr>
                <w:sz w:val="18"/>
                <w:szCs w:val="18"/>
              </w:rPr>
            </w:pPr>
            <w:r>
              <w:rPr>
                <w:sz w:val="18"/>
                <w:szCs w:val="18"/>
              </w:rPr>
              <w:t>真菌涂片检查</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真菌涂片检查</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直接涂片抗酸染色</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直接涂片抗酸染色</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（1-3）-β-D葡聚糖检测（G试验）</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（1-3）-β-D葡聚糖检测（G试验）</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3"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结核分枝杆菌培养组合项目</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结核分枝杆菌培养+一般性细菌培养</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阴性最终报告42天；阳性报告检出后即报告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呼吸道病原5项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肺炎衣原体抗体IgM、柯萨奇病毒抗体IgM、腺病毒抗体IgM、军团菌抗体IgM、呼吸道合胞病毒IgG</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醛固酮</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醛固酮</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肺炎支原体抗体IgM（MP-IgM)定量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肺炎支原体抗体IgM（MP-IgM)定量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肺炎支原体抗体IgG（MP-IgG)定量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肺炎支原体抗体IgG（MP-IgG)定量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地高辛</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地高辛药物浓度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氨茶碱</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氨茶碱药物浓度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苯妥英钠</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苯妥英钠药物浓度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万古霉素</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万古霉素药物浓度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苯巴比妥</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苯巴比妥药物浓度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卡马西平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卡马西平药物浓度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丙戊酸</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丙戊酸药物浓度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奥卡西平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奥卡西平药物浓度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利培酮+9-羟基利培酮</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利培酮+9-羟基利培酮药物浓度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奥氮平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奥氮平药物浓度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喹硫平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喹硫平药物浓度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氯氮平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氯氮平药物浓度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万拉法辛</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万拉法辛药物浓度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艾司西酞普兰</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艾司西酞普兰药物浓度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西酞普兰</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西酞普兰药物浓度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舍曲林</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舍曲林药物浓度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乙肝两对半定量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乙肝两对半定量</w:t>
            </w:r>
          </w:p>
          <w:p>
            <w:pPr>
              <w:jc w:val="center"/>
              <w:rPr>
                <w:sz w:val="18"/>
                <w:szCs w:val="18"/>
              </w:rPr>
            </w:pPr>
            <w:r>
              <w:rPr>
                <w:sz w:val="18"/>
                <w:szCs w:val="18"/>
              </w:rPr>
              <w:t>（HBsAg、HBsAb、HBeAg、HBeAb、HBcAb）</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乙型肝炎病毒（HBV-DNA)定量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乙型肝炎病毒（HBV-DNA)定量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丙型肝炎病毒（HCV-RNA)定量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丙型肝炎病毒（HCV-RNA)定量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梅毒特异性抗体半定量（TPPA半定量）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梅毒特异性抗体半定量（TPPA半定量）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绒毛膜促性腺激素（HCG)</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绒毛膜促性腺激素（HCG)</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N端B型钠尿肽前体（PRO-BNP）</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N端B型钠尿肽前体（PRO-BNP）</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甲功3项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游离三碘甲状原氨酸(FT3)、游离甲状腺素(FT4)、促甲状腺激素（TSH）</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登革病毒NS1抗原检测</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登革病毒NS1抗原</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骨型碱性磷酸酶BAP</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骨型碱性磷酸酶BAP</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肺癌三项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癌胚抗原（CEA）、细胞角蛋白19片段(CYFRA21-1)、胃泌素释放肽前体</w:t>
            </w:r>
          </w:p>
        </w:tc>
        <w:tc>
          <w:tcPr>
            <w:tcW w:w="1255"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宫颈癌三项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鳞癌细胞抗原（SCC）、癌胚抗原（CEA）、糖类抗原CA125</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8"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结直肠癌四项</w:t>
            </w:r>
          </w:p>
        </w:tc>
        <w:tc>
          <w:tcPr>
            <w:tcW w:w="3891" w:type="dxa"/>
            <w:tcBorders>
              <w:top w:val="single" w:color="auto" w:sz="4" w:space="0"/>
              <w:left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癌胚抗原（CEA）、糖类抗原CA199、糖类抗原CA50、糖类抗原CA242</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p>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乳腺肿瘤标志物检测组合</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糖类抗原CA125、糖类抗原CA153、癌胚抗原（CEA）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果糖胺（糖化血清蛋白）（GSP）</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果糖胺（糖化血清蛋白）（GSP）</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（血/尿液）β2-微球蛋白</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β2-微球蛋白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肝纤四项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透明质酸、层粘连蛋白、Ⅳ型胶原</w:t>
            </w:r>
          </w:p>
          <w:p>
            <w:pPr>
              <w:jc w:val="center"/>
              <w:rPr>
                <w:sz w:val="18"/>
                <w:szCs w:val="18"/>
              </w:rPr>
            </w:pPr>
            <w:r>
              <w:rPr>
                <w:sz w:val="18"/>
                <w:szCs w:val="18"/>
              </w:rPr>
              <w:t>Ⅲ型前胶原N端肽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诺如病毒核酸定性检测</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诺如病毒I型RNA定性、诺如病毒II型RNA定性</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轮状病毒核酸定性检测（全套）</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轮状病毒A组/B组/C组RNA定性</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肥达氏反应</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肥达氏反应</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外斐氏反应</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外斐氏反应</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鳞癌细胞抗原（SCC）</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鳞癌细胞抗原（SCC）</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血栓前四项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凝血酶-抗凝血酶Ⅲ复合物、纤溶酶-α2纤溶酶抑制剂复合体、组织型纤溶酶原激活剂-抑制剂1复合体、血栓前调解蛋白</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24小时尿蛋白定量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24小时尿蛋白定量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b/>
                <w:bCs/>
                <w:sz w:val="18"/>
                <w:szCs w:val="18"/>
              </w:rPr>
            </w:pPr>
            <w:r>
              <w:rPr>
                <w:sz w:val="18"/>
                <w:szCs w:val="18"/>
              </w:rPr>
              <w:t>血清蛋白电泳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b/>
                <w:bCs/>
                <w:sz w:val="18"/>
                <w:szCs w:val="18"/>
              </w:rPr>
            </w:pPr>
            <w:r>
              <w:rPr>
                <w:sz w:val="18"/>
                <w:szCs w:val="18"/>
              </w:rPr>
              <w:t>血清蛋白电泳</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血清免疫固定电泳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血清免疫固定电泳</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大便培养</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沙门菌、志贺菌培养+鉴定</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尿本周氏蛋白电泳</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尿本周氏蛋白电泳</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血清轻链组合</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游离κ轻链、游离λ轻链、游离κ/游离λ</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体液细胞学检查与诊断</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体液细胞学检查与诊断</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液基超薄细胞学检测-非妇科</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液基超薄细胞学检测-非妇科</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腺苷脱氨酶（ADA）-胸（腹）水</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腺苷脱氨酶（ADA）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肿瘤坏死因子α</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肿瘤坏死因子α</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白细胞介素Ⅵ</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白细胞介素Ⅵ</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碳13尿素呼气实验</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碳13尿素呼气实验</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蛋白C测定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蛋白C</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蛋白S测定</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蛋白S</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狼疮抗凝物质（LA)筛查</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狼疮抗凝物质（LA)筛查</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抗凝血酶Ⅲ（AT-Ⅲ)</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抗凝血酶Ⅲ（AT-Ⅲ)</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骨髓组织活检检查与诊断</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骨髓组织活检检查与诊断</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骨髓涂片检查</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骨髓涂片检查</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2-3天</w:t>
            </w:r>
          </w:p>
          <w:p>
            <w:pPr>
              <w:jc w:val="center"/>
              <w:rPr>
                <w:sz w:val="18"/>
                <w:szCs w:val="18"/>
              </w:rPr>
            </w:pPr>
            <w:r>
              <w:rPr>
                <w:sz w:val="18"/>
                <w:szCs w:val="18"/>
              </w:rPr>
              <w:t>(疑难病例3-4</w:t>
            </w:r>
          </w:p>
          <w:p>
            <w:pPr>
              <w:jc w:val="center"/>
              <w:rPr>
                <w:sz w:val="18"/>
                <w:szCs w:val="18"/>
              </w:rPr>
            </w:pPr>
            <w:r>
              <w:rPr>
                <w:sz w:val="18"/>
                <w:szCs w:val="18"/>
              </w:rPr>
              <w:t>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食入及吸入过敏原十项</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过敏原食入及吸入组十项</w:t>
            </w:r>
          </w:p>
          <w:p>
            <w:pPr>
              <w:jc w:val="center"/>
              <w:rPr>
                <w:sz w:val="18"/>
                <w:szCs w:val="18"/>
              </w:rPr>
            </w:pPr>
            <w:r>
              <w:rPr>
                <w:sz w:val="18"/>
                <w:szCs w:val="18"/>
              </w:rPr>
              <w:t>（TIgE、d1、e5、i6、f1、f2、f24、f23、mx1、hx2）</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无菌体液培养+药敏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胸水、腹水等穿刺液无菌体液培养+药敏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3-5 天发初步报告；</w:t>
            </w:r>
          </w:p>
          <w:p>
            <w:pPr>
              <w:jc w:val="center"/>
              <w:rPr>
                <w:sz w:val="18"/>
                <w:szCs w:val="18"/>
              </w:rPr>
            </w:pPr>
            <w:r>
              <w:rPr>
                <w:sz w:val="18"/>
                <w:szCs w:val="18"/>
              </w:rPr>
              <w:t>8天发最终报告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6"/>
              <w:numPr>
                <w:ilvl w:val="0"/>
                <w:numId w:val="2"/>
              </w:numPr>
              <w:tabs>
                <w:tab w:val="clear" w:pos="420"/>
              </w:tabs>
              <w:jc w:val="center"/>
              <w:rPr>
                <w:rFonts w:hint="default" w:ascii="Times New Roman" w:hAnsi="Times New Roman" w:eastAsia="宋体"/>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真菌培养+鉴定+药敏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穿刺液、引流液、尿液、脓液、痰等真菌培养+鉴定+药敏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人乳头瘤病毒基因分型（27种分型）</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人乳头瘤病毒基因分型（27种分型）</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流感A+B抗原检测</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流感A+B抗原检测</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支原体培养+药敏</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解脲支原体、人型支原体培养+药敏</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3-4个工作日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霍乱弧菌培养</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霍乱弧菌培养</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碳酸锂（Li）</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碳酸锂（Li）药物浓度</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戊型肝炎病毒抗体二项</w:t>
            </w:r>
          </w:p>
          <w:p>
            <w:pPr>
              <w:jc w:val="center"/>
              <w:textAlignment w:val="center"/>
              <w:rPr>
                <w:sz w:val="18"/>
                <w:szCs w:val="18"/>
              </w:rPr>
            </w:pP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戊型肝炎病毒IgM抗体（HEV-IgM）</w:t>
            </w:r>
          </w:p>
          <w:p>
            <w:pPr>
              <w:jc w:val="center"/>
              <w:rPr>
                <w:sz w:val="18"/>
                <w:szCs w:val="18"/>
              </w:rPr>
            </w:pPr>
            <w:r>
              <w:rPr>
                <w:sz w:val="18"/>
                <w:szCs w:val="18"/>
              </w:rPr>
              <w:t>戊型肝炎病毒IgG抗体（HEV-IgG）</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戊型肝炎病毒RNA定量（HEV-RNA）</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戊型肝炎病毒RNA定量（HEV-RNA）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3-5个工作日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24小时尿游离皮质醇（UFC）</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24小时尿游离皮质醇（UFC）</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17-羟皮质类固醇（17-OHCS）</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17-羟皮质类固醇（17-OHCS）</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17-酮类固醇（17-KS）</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17-酮类固醇（17-KS）</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香草扁桃酸（VMA）</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香草扁桃酸（VMA）</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液基薄层细胞制片术（TCT/LCT）</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液基薄层细胞制片术（TCT/LCT）</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sz w:val="18"/>
                <w:szCs w:val="18"/>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60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numPr>
                <w:ilvl w:val="0"/>
                <w:numId w:val="2"/>
              </w:numPr>
              <w:tabs>
                <w:tab w:val="clear" w:pos="420"/>
              </w:tabs>
              <w:jc w:val="center"/>
              <w:textAlignment w:val="center"/>
              <w:rPr>
                <w:sz w:val="18"/>
                <w:szCs w:val="18"/>
              </w:rPr>
            </w:pPr>
          </w:p>
        </w:tc>
        <w:tc>
          <w:tcPr>
            <w:tcW w:w="27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小标本病理检查与诊断</w:t>
            </w:r>
          </w:p>
        </w:tc>
        <w:tc>
          <w:tcPr>
            <w:tcW w:w="389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textAlignment w:val="center"/>
              <w:rPr>
                <w:sz w:val="18"/>
                <w:szCs w:val="18"/>
              </w:rPr>
            </w:pPr>
            <w:r>
              <w:rPr>
                <w:sz w:val="18"/>
                <w:szCs w:val="18"/>
              </w:rPr>
              <w:t>小标本病理检查与诊断</w:t>
            </w:r>
          </w:p>
        </w:tc>
        <w:tc>
          <w:tcPr>
            <w:tcW w:w="12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598"/>
              </w:tabs>
              <w:jc w:val="center"/>
              <w:rPr>
                <w:sz w:val="18"/>
                <w:szCs w:val="18"/>
              </w:rPr>
            </w:pPr>
            <w:r>
              <w:rPr>
                <w:sz w:val="18"/>
                <w:szCs w:val="18"/>
              </w:rPr>
              <w:t>2个工作日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jc w:val="center"/>
        </w:trPr>
        <w:tc>
          <w:tcPr>
            <w:tcW w:w="8478"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598"/>
              </w:tabs>
              <w:jc w:val="left"/>
              <w:rPr>
                <w:sz w:val="18"/>
                <w:szCs w:val="18"/>
              </w:rPr>
            </w:pPr>
            <w:r>
              <w:rPr>
                <w:sz w:val="18"/>
                <w:szCs w:val="18"/>
              </w:rPr>
              <w:t>备注：</w:t>
            </w:r>
          </w:p>
          <w:p>
            <w:pPr>
              <w:tabs>
                <w:tab w:val="left" w:pos="598"/>
              </w:tabs>
              <w:jc w:val="left"/>
              <w:rPr>
                <w:sz w:val="18"/>
                <w:szCs w:val="18"/>
              </w:rPr>
            </w:pPr>
            <w:r>
              <w:rPr>
                <w:sz w:val="18"/>
                <w:szCs w:val="18"/>
              </w:rPr>
              <w:t>1、当在检测项目发生变化或价格发生变化时需提供更改清单。清单详细列出检验项目、检测内容、检测方法、检验标本和价格等更改的内容。</w:t>
            </w:r>
          </w:p>
          <w:p>
            <w:pPr>
              <w:pStyle w:val="6"/>
              <w:jc w:val="left"/>
              <w:rPr>
                <w:rFonts w:hint="default" w:ascii="Times New Roman" w:hAnsi="Times New Roman" w:eastAsia="宋体"/>
                <w:sz w:val="18"/>
                <w:szCs w:val="18"/>
                <w:lang w:val="en-US"/>
              </w:rPr>
            </w:pPr>
            <w:r>
              <w:rPr>
                <w:rFonts w:hint="default" w:ascii="Times New Roman" w:hAnsi="Times New Roman" w:eastAsia="宋体"/>
                <w:color w:val="000000"/>
                <w:sz w:val="18"/>
                <w:szCs w:val="18"/>
                <w:lang w:val="en-US"/>
              </w:rPr>
              <w:t>2、检测出具报告时间自中选人实验室接收标本起算（不含标本接收当天），1天等于24小时。</w:t>
            </w:r>
          </w:p>
        </w:tc>
      </w:tr>
    </w:tbl>
    <w:p>
      <w:pPr>
        <w:spacing w:before="156" w:beforeLines="50" w:after="156" w:afterLines="50" w:line="30" w:lineRule="atLeast"/>
        <w:ind w:firstLine="632" w:firstLineChars="300"/>
        <w:rPr>
          <w:b/>
          <w:bCs/>
        </w:rPr>
      </w:pPr>
      <w:r>
        <w:rPr>
          <w:b/>
          <w:bCs/>
        </w:rPr>
        <w:t>（三）技术/服务标准与要求：</w:t>
      </w:r>
    </w:p>
    <w:p>
      <w:pPr>
        <w:ind w:firstLine="638" w:firstLineChars="304"/>
      </w:pPr>
      <w:r>
        <w:t>1.实验室要求</w:t>
      </w:r>
    </w:p>
    <w:p>
      <w:pPr>
        <w:ind w:firstLine="638" w:firstLineChars="304"/>
      </w:pPr>
      <w:r>
        <w:t>1.1比选申请人有独立实验室，能完成采购人检验项目清单的检验项目及细项的要求。如因不可抗力原因有改变，需与采购人协定。（提供书面承诺函，格式自拟）</w:t>
      </w:r>
    </w:p>
    <w:p>
      <w:pPr>
        <w:ind w:firstLine="638" w:firstLineChars="304"/>
      </w:pPr>
      <w:r>
        <w:t>1.2比选申请人的实验室需通过ISO15189《医学实验室-质量和能力的要求》的认证。（提供相关证明材料的扫描件）</w:t>
      </w:r>
    </w:p>
    <w:p>
      <w:pPr>
        <w:ind w:firstLine="638" w:firstLineChars="304"/>
      </w:pPr>
      <w:r>
        <w:t>1.3比选申请人需拥有丰富病理诊断服务经验和良好</w:t>
      </w:r>
      <w:r>
        <w:rPr>
          <w:rFonts w:hint="eastAsia"/>
        </w:rPr>
        <w:t>管理</w:t>
      </w:r>
      <w:r>
        <w:t>能力。（提供实验室的质量管理、安全管理等内部管理的规章制度的扫描件）</w:t>
      </w:r>
    </w:p>
    <w:p>
      <w:pPr>
        <w:ind w:firstLine="638" w:firstLineChars="304"/>
      </w:pPr>
      <w:r>
        <w:t>1.4比选申请人按《医疗机构临床基因扩增检验实验室管理办法》《医学检验实验室管理暂行办法》《病原微生物实验室生物安全管理条例》等有关法律法规、国家及地方相关标准、规范、通知进行操作，并对标本的检验报告承担相应的责任。项目执行期间，如有新的法律法规、国家及地方相关标准、规范、通知，则按照最新的法律法规、国家及地方相关标准、规范、通知执行。（提供书面承诺函，格式自拟）</w:t>
      </w:r>
    </w:p>
    <w:p>
      <w:pPr>
        <w:ind w:firstLine="638" w:firstLineChars="304"/>
      </w:pPr>
      <w:r>
        <w:t>1.5比选申请人提供室内质量控制报告和用于本项目的实验室参加省级或以上室间质评（通过认证），室内质控报告包括质控检测数据、控制标准、质控分析、失控报告。（提供有效的实验室的室间质评和室内质量控制报告扫描件）</w:t>
      </w:r>
    </w:p>
    <w:p>
      <w:pPr>
        <w:ind w:firstLine="638" w:firstLineChars="304"/>
      </w:pPr>
      <w:r>
        <w:t>1.6比选申请人实验室拥有全自动微生物检测平台，可提供从接种、培养、鉴定、药敏等全自动、标准化的检测，可为医院方提供全面、快速、准确的微生物检测服务。（需提供全自动微生物样本工作单元的流水线设备合同或发票、流水线实物照片、标准操作规程文件）</w:t>
      </w:r>
    </w:p>
    <w:p>
      <w:pPr>
        <w:ind w:firstLine="638" w:firstLineChars="304"/>
      </w:pPr>
      <w:r>
        <w:t>2.服务要求</w:t>
      </w:r>
    </w:p>
    <w:p>
      <w:pPr>
        <w:ind w:firstLine="638" w:firstLineChars="304"/>
      </w:pPr>
      <w:r>
        <w:t>2.1中选人每月4号前需提供上月的细菌耐药监测报告及送检标本量统计数据报告，同时在每季度/每年结束后的10个工作日内提供上季度/上年度的细菌耐药监测报告。（提供书面承诺函，格式自拟）</w:t>
      </w:r>
    </w:p>
    <w:p>
      <w:pPr>
        <w:ind w:firstLine="638" w:firstLineChars="304"/>
      </w:pPr>
      <w:r>
        <w:t>2.2合同期内采购人可在中选人检验项目范围内新增检验项目，服务费用折扣与</w:t>
      </w:r>
      <w:r>
        <w:rPr>
          <w:rFonts w:hint="eastAsia"/>
          <w:lang w:eastAsia="zh-CN"/>
        </w:rPr>
        <w:t>中选</w:t>
      </w:r>
      <w:r>
        <w:t>折扣一致。（提供书面承诺函，格式自拟）</w:t>
      </w:r>
    </w:p>
    <w:p>
      <w:pPr>
        <w:ind w:firstLine="638" w:firstLineChars="304"/>
      </w:pPr>
      <w:r>
        <w:t>2.3如采购人突发仪器故障，可为采购人提供临时外送标本服务，服务费用折扣与</w:t>
      </w:r>
      <w:r>
        <w:rPr>
          <w:rFonts w:hint="eastAsia"/>
          <w:lang w:eastAsia="zh-CN"/>
        </w:rPr>
        <w:t>中选</w:t>
      </w:r>
      <w:r>
        <w:t>折扣一致。（提供书面承诺函，格式自拟）</w:t>
      </w:r>
    </w:p>
    <w:p>
      <w:pPr>
        <w:ind w:firstLine="638" w:firstLineChars="304"/>
      </w:pPr>
      <w:r>
        <w:t>2.4中选人拥有完善的病原学检测平台，出具报告快速、准确，出报告时间见检验项目清单（从中选人在采购人处接收标本起计算时间），需提供纸质报告单。（提供书面承诺函，格式自拟）</w:t>
      </w:r>
    </w:p>
    <w:p>
      <w:pPr>
        <w:ind w:firstLine="638" w:firstLineChars="304"/>
      </w:pPr>
      <w:r>
        <w:t>2.5中选人保证对全部送检标本按国家检验规范、病理诊断规范进行操作，按照规范流程进行标本保存、运输及检查诊断，并对标本的检验报告、病理报告承担相应的责任。（提供书面承诺函，格式自拟）</w:t>
      </w:r>
    </w:p>
    <w:p>
      <w:pPr>
        <w:ind w:firstLine="638" w:firstLineChars="304"/>
      </w:pPr>
      <w:r>
        <w:t>2.6采购人的所有送检标本最终由中选人按照标本处理的要求进行处置（特殊情况除外）。检验或病理相关工作所使用、产生的危化品由采购人检验科收集、密封后，中选人负责收运处理，保证不产生二次污染，由此产生的所有费用由中选人承担。（提供书面承诺函，格式自拟）</w:t>
      </w:r>
    </w:p>
    <w:p>
      <w:pPr>
        <w:ind w:firstLine="638" w:firstLineChars="304"/>
      </w:pPr>
      <w:r>
        <w:t>2.7比选申请人建立24小时服务热线，能迅速响应采购人服务要求。（提供书面承诺函，格式自拟及服务热线电话号码）</w:t>
      </w:r>
    </w:p>
    <w:p>
      <w:pPr>
        <w:ind w:firstLine="638" w:firstLineChars="304"/>
      </w:pPr>
      <w:r>
        <w:t>2.8比选申请人免费提供检查项目所需要的相关耗材（如条形码、采样管、标本接收袋、采集拭子等）、知情同意书、专用申请单等，并免费为采购人提供检验单补单服务。（提供书面承诺函，格式自拟）</w:t>
      </w:r>
    </w:p>
    <w:p>
      <w:pPr>
        <w:ind w:firstLine="638" w:firstLineChars="304"/>
      </w:pPr>
      <w:r>
        <w:t>2.9当采购人对检验结果存在异议时有要求免费复检的时候，中选人应配合。（提供书面承诺函，格式自拟）</w:t>
      </w:r>
    </w:p>
    <w:p>
      <w:pPr>
        <w:ind w:firstLine="638" w:firstLineChars="304"/>
      </w:pPr>
      <w:r>
        <w:t>3.结果查询</w:t>
      </w:r>
    </w:p>
    <w:p>
      <w:pPr>
        <w:ind w:firstLine="638" w:firstLineChars="304"/>
        <w:rPr>
          <w:highlight w:val="none"/>
        </w:rPr>
      </w:pPr>
      <w:r>
        <w:rPr>
          <w:szCs w:val="21"/>
        </w:rPr>
        <w:t>★</w:t>
      </w:r>
      <w:r>
        <w:t>3.1采购人已建有LIS系统和电子病历系统，通过LIS系统与电子病历系统数据交互，实现检验申请、标本处理、检查报告全流程无纸化处理。中选人需与采购人现有的LIS系统对接，实现外送检验申请、外送标本管理、外送检查结果返回等全流程信息化管理，并符合国家信息安全有关的规定和要求。中选人负责实现采购人LIS系统与HIS系统对接，保证检验项目结果实时网络传输，并在合同签署之日起30天内完成系统对接。系统未对接前，</w:t>
      </w:r>
      <w:r>
        <w:rPr>
          <w:rFonts w:hint="eastAsia"/>
          <w:highlight w:val="none"/>
        </w:rPr>
        <w:t>中选人需在标本收取后按照出报告时间的要求于第二天将纸质报告结果送至采购人处。</w:t>
      </w:r>
      <w:r>
        <w:rPr>
          <w:highlight w:val="none"/>
        </w:rPr>
        <w:t>（提供书面承诺函，格式自拟）</w:t>
      </w:r>
    </w:p>
    <w:p>
      <w:pPr>
        <w:ind w:firstLine="638" w:firstLineChars="304"/>
      </w:pPr>
      <w:r>
        <w:t>3.2提供网上查询服务，以供随时查询进度和结果，并提供数据导出功能。（提供书面承诺函，格式自拟）</w:t>
      </w:r>
    </w:p>
    <w:p>
      <w:pPr>
        <w:ind w:firstLine="638" w:firstLineChars="304"/>
      </w:pPr>
      <w:r>
        <w:t>3.3提供电话查询服务，危急值专人电话跟进，确保患者检测信息与临床医生的畅通。（提供书面承诺函，格式自拟及电话服务热线）</w:t>
      </w:r>
    </w:p>
    <w:p>
      <w:pPr>
        <w:ind w:firstLine="638" w:firstLineChars="304"/>
      </w:pPr>
      <w:r>
        <w:t>3.4采购人的医务人员可以随时调阅检验结果，中选人保证患者资料的准确性和检验结果的及时性，并提供系统使用的必要培训与技术支持。（提供书面承诺函，格式自拟）</w:t>
      </w:r>
    </w:p>
    <w:p>
      <w:pPr>
        <w:ind w:firstLine="638" w:firstLineChars="304"/>
      </w:pPr>
      <w:r>
        <w:t>4.保密要求</w:t>
      </w:r>
    </w:p>
    <w:p>
      <w:pPr>
        <w:ind w:firstLine="638" w:firstLineChars="304"/>
      </w:pPr>
      <w:r>
        <w:t>4.1中选人有为采购人保密的义务，未经同意不得向第三方泄露委托检验的项目、检验内容及检验结果。（提供书面承诺函，格式自拟）</w:t>
      </w:r>
    </w:p>
    <w:p>
      <w:pPr>
        <w:ind w:firstLine="638" w:firstLineChars="304"/>
      </w:pPr>
      <w:r>
        <w:t>4.2检测样本、检测数据的所有权、使用权为采购人所有，未经采购人许可不得挪作它用，中选人需按照国家有关法律法规及采购人要求妥善保存及销毁检验后的标本，并保证检验结果的公正性，不受任何诱惑或压力影响对检验结果进行更改。（提供书面承诺函，格式自拟）</w:t>
      </w:r>
    </w:p>
    <w:p>
      <w:pPr>
        <w:ind w:firstLine="638" w:firstLineChars="304"/>
      </w:pPr>
      <w:r>
        <w:t>5.质量要求</w:t>
      </w:r>
    </w:p>
    <w:p>
      <w:pPr>
        <w:ind w:firstLine="638" w:firstLineChars="304"/>
      </w:pPr>
      <w:r>
        <w:t>5.1误检例数（检错每年少于1例）。（提供书面承诺函，格式自拟）</w:t>
      </w:r>
    </w:p>
    <w:p>
      <w:pPr>
        <w:ind w:firstLine="638" w:firstLineChars="304"/>
      </w:pPr>
      <w:r>
        <w:t>5.2漏检例数（缺项每年少于1例）。（提供书面承诺函，格式自拟）</w:t>
      </w:r>
    </w:p>
    <w:p>
      <w:pPr>
        <w:ind w:firstLine="638" w:firstLineChars="304"/>
      </w:pPr>
      <w:r>
        <w:t>5.3及时率（结果及时，及时率大于99.5%）。（提供书面承诺函，格式自拟）</w:t>
      </w:r>
    </w:p>
    <w:p>
      <w:pPr>
        <w:ind w:firstLine="638" w:firstLineChars="304"/>
      </w:pPr>
      <w:r>
        <w:t>5.4误报例数（姓名、结果误报，每年少于1例）。（提供书面承诺函，格式自拟）</w:t>
      </w:r>
    </w:p>
    <w:p>
      <w:pPr>
        <w:ind w:firstLine="638" w:firstLineChars="304"/>
      </w:pPr>
      <w:r>
        <w:t>5.5不得将检测标本丢失、错误运送。（提供书面承诺函，格式自拟）</w:t>
      </w:r>
    </w:p>
    <w:p>
      <w:pPr>
        <w:ind w:firstLine="638" w:firstLineChars="304"/>
      </w:pPr>
      <w:r>
        <w:t>5.6危急值报告率和及时率要达到100%。（提供书面承诺函，格式自拟）</w:t>
      </w:r>
    </w:p>
    <w:p>
      <w:pPr>
        <w:ind w:firstLine="638" w:firstLineChars="304"/>
      </w:pPr>
      <w:r>
        <w:t>5.7由于中选人原因导致的医疗事故，由中选人承担全部责任。（提供书面承诺函，格式自拟）</w:t>
      </w:r>
    </w:p>
    <w:p>
      <w:pPr>
        <w:ind w:firstLine="638" w:firstLineChars="304"/>
      </w:pPr>
      <w:r>
        <w:t>6.服务</w:t>
      </w:r>
      <w:r>
        <w:rPr>
          <w:rFonts w:hint="eastAsia"/>
        </w:rPr>
        <w:t>团队人员</w:t>
      </w:r>
      <w:r>
        <w:t>要求</w:t>
      </w:r>
    </w:p>
    <w:p>
      <w:pPr>
        <w:ind w:firstLine="638" w:firstLineChars="304"/>
        <w:rPr>
          <w:highlight w:val="none"/>
        </w:rPr>
      </w:pPr>
      <w:r>
        <w:t>比选申请人检验实验室拥有专业的检验技术人员，可提供专业的医学检验服务；病理实验室拥有专业的病理医师以及病理技术人员团队以提供权威专业的病理诊断服务。</w:t>
      </w:r>
      <w:r>
        <w:rPr>
          <w:rFonts w:hint="eastAsia"/>
          <w:highlight w:val="none"/>
        </w:rPr>
        <w:t>具备</w:t>
      </w:r>
      <w:r>
        <w:rPr>
          <w:highlight w:val="none"/>
        </w:rPr>
        <w:t>高级或以上职称</w:t>
      </w:r>
      <w:r>
        <w:rPr>
          <w:rFonts w:hint="eastAsia"/>
          <w:highlight w:val="none"/>
        </w:rPr>
        <w:t>技术人员至少6人，</w:t>
      </w:r>
      <w:r>
        <w:rPr>
          <w:highlight w:val="none"/>
        </w:rPr>
        <w:t>中级职称</w:t>
      </w:r>
      <w:r>
        <w:rPr>
          <w:rFonts w:hint="eastAsia"/>
          <w:highlight w:val="none"/>
        </w:rPr>
        <w:t>技术人员至少</w:t>
      </w:r>
      <w:r>
        <w:rPr>
          <w:highlight w:val="none"/>
        </w:rPr>
        <w:t>6</w:t>
      </w:r>
      <w:r>
        <w:rPr>
          <w:rFonts w:hint="eastAsia"/>
          <w:highlight w:val="none"/>
        </w:rPr>
        <w:t>人</w:t>
      </w:r>
      <w:r>
        <w:rPr>
          <w:highlight w:val="none"/>
        </w:rPr>
        <w:t>。</w:t>
      </w:r>
    </w:p>
    <w:p>
      <w:pPr>
        <w:ind w:firstLine="638" w:firstLineChars="304"/>
      </w:pPr>
      <w:r>
        <w:t>7.其它要求</w:t>
      </w:r>
    </w:p>
    <w:p>
      <w:pPr>
        <w:ind w:firstLine="638" w:firstLineChars="304"/>
      </w:pPr>
      <w:r>
        <w:t>7.1中选人免费提供采购人医务人员到中选人实验室进修的机会，免费提供科研合作、实验室规划设计服务，在采购人科研项目有检测需求时，可提供优惠或便利服务。（提供书面承诺函，格式自拟）</w:t>
      </w:r>
    </w:p>
    <w:p>
      <w:pPr>
        <w:ind w:firstLine="638" w:firstLineChars="304"/>
      </w:pPr>
      <w:r>
        <w:t>7.2</w:t>
      </w:r>
      <w:bookmarkStart w:id="0" w:name="OLE_LINK1"/>
      <w:r>
        <w:t>中选人针对项目</w:t>
      </w:r>
      <w:r>
        <w:rPr>
          <w:rFonts w:hint="eastAsia"/>
        </w:rPr>
        <w:t>提供培训方案，</w:t>
      </w:r>
      <w:r>
        <w:t>包括对自有员工（包括但不限于标本运送、接收、检测人员）及对采购人医务人员的培训内容及流程安排</w:t>
      </w:r>
      <w:r>
        <w:rPr>
          <w:rFonts w:hint="eastAsia"/>
        </w:rPr>
        <w:t>。</w:t>
      </w:r>
      <w:r>
        <w:t>为采购人提供技术培训、ISO15189知识培训，每年不少于2次。</w:t>
      </w:r>
      <w:bookmarkEnd w:id="0"/>
      <w:r>
        <w:t>（提供具体的培训方案）</w:t>
      </w:r>
    </w:p>
    <w:p>
      <w:pPr>
        <w:ind w:firstLine="638" w:firstLineChars="304"/>
      </w:pPr>
      <w:r>
        <w:t>7.3比选申请人制定完善、可行、具体、合理的应急方案，以解决标本在接收、运输、检测、结果上报、查询等环节中可能出现的问题，确保标本安全、结果及时准确、查询及沟通渠道畅通。（提供具体应急方案）</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8.服务期限：项目服务期一年</w:t>
      </w:r>
      <w:r>
        <w:rPr>
          <w:rFonts w:hint="eastAsia" w:ascii="Times New Roman" w:hAnsi="Times New Roman" w:eastAsia="宋体"/>
          <w:sz w:val="21"/>
          <w:lang w:val="en-US" w:eastAsia="zh-CN" w:bidi="ar-SA"/>
        </w:rPr>
        <w:t>，自2025年7月31日至2026年7月30日止，</w:t>
      </w:r>
      <w:r>
        <w:rPr>
          <w:rFonts w:hint="default" w:ascii="Times New Roman" w:hAnsi="Times New Roman" w:eastAsia="宋体"/>
          <w:sz w:val="21"/>
          <w:lang w:val="en-US" w:bidi="ar-SA"/>
        </w:rPr>
        <w:t>或服务期内结算金额达到合同金额则服务提前终止。</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9.服务提供时间：中选人提供每日不少于1次到采购人处收取标本的服务，周一至周日8:30-16:00。如遇采购人特殊情况，需配合采购人需求。（提供书面承诺函，格式自拟）</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10.服务提供地点：广州市白云区广从十路1288号广州市老人院上水院区、</w:t>
      </w:r>
      <w:r>
        <w:rPr>
          <w:rFonts w:ascii="Times New Roman" w:hAnsi="Times New Roman" w:eastAsia="宋体"/>
          <w:sz w:val="21"/>
          <w:lang w:val="en-US" w:bidi="ar-SA"/>
        </w:rPr>
        <w:t>广州市老年医院、</w:t>
      </w:r>
      <w:r>
        <w:rPr>
          <w:rFonts w:hint="default" w:ascii="Times New Roman" w:hAnsi="Times New Roman" w:eastAsia="宋体"/>
          <w:sz w:val="21"/>
          <w:lang w:val="en-US" w:bidi="ar-SA"/>
        </w:rPr>
        <w:t>广州市黄埔区广汕八路988号广州市老人院镇龙院区。</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11.付款方式：</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11.1检测费用以最终检测数量为准，据实结算，每月结算壹次。</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11.2中选人对标本进行检测后，每月凭检测的统计表开具相应的正式发票、请款函与采购人核对送检数量，经采购人相关科室核实后由采购人财务部进行结算，可以通过银行转账或支票的方式支付。对于检测项目：中选人实际结算价格=最新的《广州地区公立医疗机构基本医疗服务价格目录》核准公布的收费标准×</w:t>
      </w:r>
      <w:r>
        <w:rPr>
          <w:rFonts w:ascii="Times New Roman" w:hAnsi="Times New Roman" w:eastAsia="宋体"/>
          <w:sz w:val="21"/>
          <w:lang w:val="en-US" w:bidi="ar-SA"/>
        </w:rPr>
        <w:t>折扣</w:t>
      </w:r>
      <w:r>
        <w:rPr>
          <w:rFonts w:hint="default" w:ascii="Times New Roman" w:hAnsi="Times New Roman" w:eastAsia="宋体"/>
          <w:sz w:val="21"/>
          <w:lang w:val="en-US" w:bidi="ar-SA"/>
        </w:rPr>
        <w:t>×实际送检标本数量。</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11.3中选人对标本进行检测后，检验费用每月25日前结算一次，中选人根据采购人开具的检验单统计实际支付金额并开具相应的发票、请款函。在双方确认最终检测数量后，采购人收齐发票等相关资料且核对无误后5个工作日内办理支付手续，检验费用支付时间以账款到达中选人账户时间为准。</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12.验收要求：根据《政府采购需求管理办法》要求进行验收，具体如下：</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12.1中选人完成检测，每批送检的标本均需提供纸质报告单。采购人对每批送检样本的检测结果进行验收，如实际送检名单、数量是否与检测结果名单、数量相符等。</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12.2采购人每季度对中选人的服务质量进行考核并根据考核结果扣罚中选人的服务费，考核标准按《履约评价表》</w:t>
      </w:r>
      <w:r>
        <w:rPr>
          <w:rFonts w:hint="default" w:ascii="Times New Roman" w:hAnsi="Times New Roman" w:eastAsia="宋体"/>
          <w:color w:val="auto"/>
          <w:sz w:val="21"/>
          <w:lang w:val="en-US" w:bidi="ar-SA"/>
        </w:rPr>
        <w:t>（附件</w:t>
      </w:r>
      <w:r>
        <w:rPr>
          <w:rFonts w:hint="eastAsia" w:ascii="Times New Roman" w:hAnsi="Times New Roman" w:eastAsia="宋体"/>
          <w:color w:val="auto"/>
          <w:sz w:val="21"/>
          <w:lang w:val="en-US" w:eastAsia="zh-CN" w:bidi="ar-SA"/>
        </w:rPr>
        <w:t>10</w:t>
      </w:r>
      <w:r>
        <w:rPr>
          <w:rFonts w:hint="default" w:ascii="Times New Roman" w:hAnsi="Times New Roman" w:eastAsia="宋体"/>
          <w:color w:val="auto"/>
          <w:sz w:val="21"/>
          <w:lang w:val="en-US" w:bidi="ar-SA"/>
        </w:rPr>
        <w:t>）。</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13.运输要求</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13.1比选申请人配备接收、送检的车辆，配备完善医疗冷链物流系统和信息服务系统，确保标本接收、运输过程的质量和环境安全。对于需低温冷冻或有特殊要求的样品视具体项目与采购人检验科商定。（提供承诺函）</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13.2比选申请人标本接收人员要通过严格培训，负责标本质量的初检、标识的核对、标本的包装储存。（提供</w:t>
      </w:r>
      <w:r>
        <w:rPr>
          <w:rFonts w:ascii="Times New Roman" w:hAnsi="Times New Roman" w:eastAsia="宋体"/>
          <w:sz w:val="21"/>
          <w:lang w:val="en-US" w:bidi="ar-SA"/>
        </w:rPr>
        <w:t>培训方案</w:t>
      </w:r>
      <w:r>
        <w:rPr>
          <w:rFonts w:hint="default" w:ascii="Times New Roman" w:hAnsi="Times New Roman" w:eastAsia="宋体"/>
          <w:sz w:val="21"/>
          <w:lang w:val="en-US" w:bidi="ar-SA"/>
        </w:rPr>
        <w:t>）</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13.3比选申请人具有规范的标本接收、登记和包装流程，保证标本质量和安全，确保标本顺利交接、方便核查。（提供标本接收、登记和包装流程）</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13.4标本不符合检验要求时，应及时通知采购人重新取样。（提供承诺函）</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13.5比选申请人物流团队至少为本项目配备2辆运输车辆。（需提供车辆清晰照片、车牌号码清晰可见，提供车辆行驶证扫描件及车辆半年内任一月的消毒记录）</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13.6比选申请人配备的物流标本箱具备定位功能和温度监控功能，且可实现全程实时监测，标本箱贴有相应的生物安全标识、紧急联系人及其联系电话。（需提供标本箱实物图片）</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13.7比选申请人物流团队中具有通过CCAI生物安全培训的人员。（需提供相关证明文件的扫描件）</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14.售后服务要求：比选申请人提供免费服务电话、网络查询、微信查询等多种渠道供采购人进行业务咨询、报告查询、账单查询统计功能。提供售后服务方案，制定完善制度和流程保障上门服务，并派驻具有医院检验背景的专业人员提供上门售后服务。（提供具体售后服务方案）</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15.履约保证金：本项目不收取履约保证金。</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16.报价方式</w:t>
      </w:r>
    </w:p>
    <w:p>
      <w:pPr>
        <w:pStyle w:val="6"/>
        <w:ind w:firstLine="630" w:firstLineChars="300"/>
        <w:rPr>
          <w:rFonts w:hint="default" w:ascii="Times New Roman" w:hAnsi="Times New Roman" w:eastAsia="宋体"/>
          <w:sz w:val="21"/>
          <w:lang w:val="en-US" w:bidi="ar-SA"/>
        </w:rPr>
      </w:pPr>
      <w:r>
        <w:rPr>
          <w:rFonts w:hint="default" w:ascii="Times New Roman" w:hAnsi="Times New Roman" w:eastAsia="宋体"/>
          <w:sz w:val="21"/>
          <w:lang w:val="en-US" w:bidi="ar-SA"/>
        </w:rPr>
        <w:t>16.1</w:t>
      </w:r>
      <w:r>
        <w:rPr>
          <w:rFonts w:ascii="Times New Roman" w:hAnsi="Times New Roman" w:eastAsia="宋体"/>
          <w:sz w:val="21"/>
          <w:lang w:val="en-US" w:bidi="ar-SA"/>
        </w:rPr>
        <w:t>比选</w:t>
      </w:r>
      <w:r>
        <w:rPr>
          <w:rFonts w:hint="default" w:ascii="Times New Roman" w:hAnsi="Times New Roman" w:eastAsia="宋体"/>
          <w:sz w:val="21"/>
          <w:lang w:val="en-US" w:bidi="ar-SA"/>
        </w:rPr>
        <w:t>报价采用投报“折扣（%）”的方式，报价包括但不限于：完成本次</w:t>
      </w:r>
      <w:r>
        <w:rPr>
          <w:rFonts w:hint="eastAsia" w:ascii="Times New Roman" w:hAnsi="Times New Roman" w:eastAsia="宋体"/>
          <w:sz w:val="21"/>
          <w:lang w:val="en-US" w:eastAsia="zh-CN" w:bidi="ar-SA"/>
        </w:rPr>
        <w:t>比选</w:t>
      </w:r>
      <w:r>
        <w:rPr>
          <w:rFonts w:hint="default" w:ascii="Times New Roman" w:hAnsi="Times New Roman" w:eastAsia="宋体"/>
          <w:sz w:val="21"/>
          <w:lang w:val="en-US" w:bidi="ar-SA"/>
        </w:rPr>
        <w:t>所有服务内容的费用，包括人工费、检验费、材料费、设备使用费、LIS/HIS对接费用、运输费、各种税务费、必须的辅助材料费如条形码、采样管、标本接收袋、采集拭子等及合同实施过程中不可预见费用等全部费用。</w:t>
      </w:r>
    </w:p>
    <w:p>
      <w:pPr>
        <w:pStyle w:val="6"/>
        <w:rPr>
          <w:rFonts w:hint="default" w:ascii="Times New Roman" w:hAnsi="Times New Roman" w:eastAsia="宋体"/>
          <w:sz w:val="21"/>
          <w:lang w:val="en-US" w:bidi="ar-SA"/>
        </w:rPr>
      </w:pPr>
      <w:r>
        <w:rPr>
          <w:rFonts w:hint="default" w:ascii="Times New Roman" w:hAnsi="Times New Roman" w:eastAsia="宋体"/>
          <w:sz w:val="21"/>
          <w:lang w:val="en-US" w:bidi="ar-SA"/>
        </w:rPr>
        <w:t xml:space="preserve">      16.2</w:t>
      </w:r>
      <w:r>
        <w:rPr>
          <w:rFonts w:ascii="Times New Roman" w:hAnsi="Times New Roman" w:eastAsia="宋体"/>
          <w:sz w:val="21"/>
          <w:lang w:val="en-US" w:bidi="ar-SA"/>
        </w:rPr>
        <w:t>比选</w:t>
      </w:r>
      <w:r>
        <w:rPr>
          <w:rFonts w:hint="default" w:ascii="Times New Roman" w:hAnsi="Times New Roman" w:eastAsia="宋体"/>
          <w:sz w:val="21"/>
          <w:lang w:val="en-US" w:bidi="ar-SA"/>
        </w:rPr>
        <w:t>人必须对本项目的全部内容进行</w:t>
      </w:r>
      <w:r>
        <w:rPr>
          <w:rFonts w:ascii="Times New Roman" w:hAnsi="Times New Roman" w:eastAsia="宋体"/>
          <w:sz w:val="21"/>
          <w:lang w:val="en-US" w:bidi="ar-SA"/>
        </w:rPr>
        <w:t>比选</w:t>
      </w:r>
      <w:r>
        <w:rPr>
          <w:rFonts w:hint="default" w:ascii="Times New Roman" w:hAnsi="Times New Roman" w:eastAsia="宋体"/>
          <w:sz w:val="21"/>
          <w:lang w:val="en-US" w:bidi="ar-SA"/>
        </w:rPr>
        <w:t>报价，不可有缺漏。</w:t>
      </w:r>
    </w:p>
    <w:p>
      <w:pPr>
        <w:ind w:firstLine="641" w:firstLineChars="304"/>
        <w:rPr>
          <w:b/>
          <w:bCs/>
          <w:color w:val="000000"/>
          <w:szCs w:val="21"/>
        </w:rPr>
      </w:pPr>
      <w:r>
        <w:rPr>
          <w:b/>
          <w:bCs/>
          <w:color w:val="000000"/>
          <w:szCs w:val="21"/>
        </w:rPr>
        <w:t>四、实施程序</w:t>
      </w:r>
    </w:p>
    <w:p>
      <w:pPr>
        <w:spacing w:before="156" w:beforeLines="50" w:after="156" w:afterLines="50" w:line="30" w:lineRule="atLeast"/>
        <w:ind w:firstLine="641" w:firstLineChars="304"/>
      </w:pPr>
      <w:r>
        <w:rPr>
          <w:b/>
          <w:bCs/>
        </w:rPr>
        <w:t>（一）发布信息。</w:t>
      </w:r>
      <w:r>
        <w:t>采购项目经院行政办公会批准后，发布采购公告。</w:t>
      </w:r>
    </w:p>
    <w:p>
      <w:pPr>
        <w:spacing w:before="156" w:beforeLines="50" w:after="156" w:afterLines="50" w:line="30" w:lineRule="atLeast"/>
        <w:ind w:firstLine="641" w:firstLineChars="304"/>
      </w:pPr>
      <w:r>
        <w:rPr>
          <w:b/>
          <w:bCs/>
        </w:rPr>
        <w:t>（二）组织比选。</w:t>
      </w:r>
      <w:r>
        <w:t>报名时间结束后，根据工作安排，原则上5个工作日内组织比选会议，比选会议比选申请人无需现场参加。</w:t>
      </w:r>
    </w:p>
    <w:p>
      <w:pPr>
        <w:pStyle w:val="6"/>
        <w:ind w:firstLine="632" w:firstLineChars="300"/>
        <w:rPr>
          <w:rFonts w:hint="default" w:ascii="Times New Roman" w:hAnsi="Times New Roman" w:eastAsia="宋体"/>
          <w:color w:val="FF0000"/>
          <w:kern w:val="0"/>
          <w:sz w:val="21"/>
          <w:highlight w:val="yellow"/>
          <w:lang w:val="en-US" w:bidi="ar-SA"/>
        </w:rPr>
      </w:pPr>
      <w:r>
        <w:rPr>
          <w:rFonts w:hint="default" w:ascii="Times New Roman" w:hAnsi="Times New Roman" w:eastAsia="宋体"/>
          <w:b/>
          <w:bCs/>
          <w:sz w:val="21"/>
          <w:lang w:val="en-US" w:bidi="ar-SA"/>
        </w:rPr>
        <w:t>（三）成立评选小组。</w:t>
      </w:r>
      <w:r>
        <w:rPr>
          <w:rFonts w:hint="default" w:ascii="Times New Roman" w:hAnsi="Times New Roman" w:eastAsia="宋体"/>
          <w:kern w:val="0"/>
          <w:sz w:val="21"/>
          <w:lang w:val="en-US" w:bidi="ar-SA"/>
        </w:rPr>
        <w:t>评选小组数量应为3人（含）以上单数。根据项目特点，采取部门推荐，并经摇珠等随机方式进行选取。</w:t>
      </w:r>
      <w:r>
        <w:rPr>
          <w:rFonts w:hint="default" w:ascii="Times New Roman" w:hAnsi="Times New Roman" w:eastAsia="宋体"/>
          <w:kern w:val="0"/>
          <w:sz w:val="21"/>
        </w:rPr>
        <w:t>可根据实际需要增加熟悉该项目技术要求的成员。</w:t>
      </w:r>
      <w:r>
        <w:rPr>
          <w:rFonts w:hint="default" w:ascii="Times New Roman" w:hAnsi="Times New Roman" w:eastAsia="宋体"/>
          <w:kern w:val="0"/>
          <w:sz w:val="21"/>
          <w:lang w:val="en-US" w:bidi="ar-SA"/>
        </w:rPr>
        <w:t>每个部门代表原则上不超过1人，评选小组组长由项目管理责任部室担任。</w:t>
      </w:r>
    </w:p>
    <w:p>
      <w:pPr>
        <w:spacing w:before="156" w:beforeLines="50" w:after="156" w:afterLines="50" w:line="30" w:lineRule="atLeast"/>
        <w:ind w:firstLine="632" w:firstLineChars="300"/>
        <w:rPr>
          <w:b/>
          <w:bCs/>
        </w:rPr>
      </w:pPr>
      <w:r>
        <w:rPr>
          <w:b/>
          <w:bCs/>
        </w:rPr>
        <w:t>（四）比选要求。</w:t>
      </w:r>
    </w:p>
    <w:p>
      <w:pPr>
        <w:spacing w:before="156" w:beforeLines="50" w:after="156" w:afterLines="50" w:line="30" w:lineRule="atLeast"/>
        <w:ind w:firstLine="641" w:firstLineChars="304"/>
        <w:rPr>
          <w:b/>
          <w:bCs/>
        </w:rPr>
      </w:pPr>
      <w:r>
        <w:rPr>
          <w:b/>
          <w:bCs/>
        </w:rPr>
        <w:t>1.比选方法</w:t>
      </w:r>
    </w:p>
    <w:p>
      <w:pPr>
        <w:spacing w:before="156" w:beforeLines="50" w:after="156" w:afterLines="50" w:line="30" w:lineRule="atLeast"/>
        <w:ind w:firstLine="641" w:firstLineChars="304"/>
        <w:rPr>
          <w:b/>
          <w:bCs/>
        </w:rPr>
      </w:pPr>
      <w:r>
        <w:rPr>
          <w:b/>
          <w:bCs/>
        </w:rPr>
        <w:t>综合评分法：</w:t>
      </w:r>
    </w:p>
    <w:p>
      <w:pPr>
        <w:spacing w:before="156" w:beforeLines="50" w:after="156" w:afterLines="50" w:line="30" w:lineRule="atLeast"/>
        <w:ind w:firstLine="638" w:firstLineChars="304"/>
      </w:pPr>
      <w:r>
        <w:t>1.1.1根据服务类采购项目评分比重要求，设定本项目的评分体系，并设定以综合评分最高者中选。</w:t>
      </w:r>
    </w:p>
    <w:p>
      <w:pPr>
        <w:tabs>
          <w:tab w:val="left" w:pos="720"/>
        </w:tabs>
        <w:spacing w:before="156" w:beforeLines="50" w:after="156" w:afterLines="50" w:line="30" w:lineRule="atLeast"/>
        <w:ind w:firstLine="638" w:firstLineChars="304"/>
        <w:jc w:val="left"/>
      </w:pPr>
      <w:r>
        <w:t>1.1.2综合评分=技术评分＋商务评分+价格评分。</w:t>
      </w:r>
    </w:p>
    <w:p>
      <w:pPr>
        <w:tabs>
          <w:tab w:val="left" w:pos="720"/>
        </w:tabs>
        <w:spacing w:before="156" w:beforeLines="50" w:after="156" w:afterLines="50" w:line="30" w:lineRule="atLeast"/>
        <w:ind w:firstLine="638" w:firstLineChars="304"/>
        <w:jc w:val="left"/>
        <w:rPr>
          <w:rStyle w:val="20"/>
          <w:szCs w:val="22"/>
        </w:rPr>
      </w:pPr>
      <w:r>
        <w:t>1.1.3各项得分按四舍五入原则精确到小数点后两位。将综合评分由高到低顺序排列。综合评分相同的，按比选价由低到高顺序排列；综合评分相同，且比选价相同的，按技术评分由高到低顺序排列。</w:t>
      </w:r>
    </w:p>
    <w:p>
      <w:pPr>
        <w:ind w:firstLine="630" w:firstLineChars="300"/>
      </w:pPr>
      <w:r>
        <w:t>1.2</w:t>
      </w:r>
      <w:r>
        <w:rPr>
          <w:b/>
          <w:bCs/>
        </w:rPr>
        <w:t>评分体系如下：</w:t>
      </w:r>
    </w:p>
    <w:tbl>
      <w:tblPr>
        <w:tblStyle w:val="13"/>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700"/>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3"/>
          </w:tcPr>
          <w:p>
            <w:pPr>
              <w:pStyle w:val="12"/>
              <w:ind w:firstLine="211"/>
              <w:jc w:val="center"/>
              <w:rPr>
                <w:rFonts w:hint="default" w:ascii="Times New Roman" w:hAnsi="Times New Roman"/>
                <w:sz w:val="21"/>
                <w:szCs w:val="21"/>
              </w:rPr>
            </w:pPr>
            <w:r>
              <w:rPr>
                <w:rFonts w:hint="default" w:ascii="Times New Roman" w:hAnsi="Times New Roman" w:eastAsia="宋体"/>
                <w:b/>
                <w:color w:val="000000"/>
                <w:sz w:val="21"/>
                <w:szCs w:val="21"/>
              </w:rPr>
              <w:t>技术评分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napToGrid w:val="0"/>
              <w:spacing w:line="360" w:lineRule="auto"/>
              <w:jc w:val="center"/>
              <w:rPr>
                <w:color w:val="000000"/>
                <w:szCs w:val="21"/>
              </w:rPr>
            </w:pPr>
            <w:r>
              <w:rPr>
                <w:color w:val="000000"/>
                <w:szCs w:val="21"/>
              </w:rPr>
              <w:t>分值（5</w:t>
            </w:r>
            <w:r>
              <w:rPr>
                <w:rFonts w:hint="eastAsia"/>
                <w:color w:val="000000"/>
                <w:szCs w:val="21"/>
              </w:rPr>
              <w:t>5</w:t>
            </w:r>
            <w:r>
              <w:rPr>
                <w:color w:val="000000"/>
                <w:szCs w:val="21"/>
              </w:rPr>
              <w:t>）</w:t>
            </w:r>
          </w:p>
        </w:tc>
        <w:tc>
          <w:tcPr>
            <w:tcW w:w="2700" w:type="dxa"/>
            <w:vAlign w:val="center"/>
          </w:tcPr>
          <w:p>
            <w:pPr>
              <w:snapToGrid w:val="0"/>
              <w:spacing w:line="360" w:lineRule="auto"/>
              <w:jc w:val="center"/>
              <w:rPr>
                <w:color w:val="000000"/>
                <w:szCs w:val="21"/>
              </w:rPr>
            </w:pPr>
            <w:r>
              <w:rPr>
                <w:color w:val="000000"/>
                <w:szCs w:val="21"/>
              </w:rPr>
              <w:t>评审内容</w:t>
            </w:r>
          </w:p>
        </w:tc>
        <w:tc>
          <w:tcPr>
            <w:tcW w:w="4195" w:type="dxa"/>
            <w:vAlign w:val="center"/>
          </w:tcPr>
          <w:p>
            <w:pPr>
              <w:snapToGrid w:val="0"/>
              <w:spacing w:line="360" w:lineRule="auto"/>
              <w:jc w:val="center"/>
              <w:rPr>
                <w:color w:val="000000"/>
                <w:szCs w:val="21"/>
              </w:rPr>
            </w:pPr>
            <w:r>
              <w:rPr>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napToGrid w:val="0"/>
              <w:spacing w:line="360" w:lineRule="auto"/>
              <w:jc w:val="center"/>
              <w:rPr>
                <w:szCs w:val="21"/>
              </w:rPr>
            </w:pPr>
            <w:r>
              <w:rPr>
                <w:rFonts w:eastAsia="PMingLiU"/>
                <w:color w:val="000000"/>
                <w:sz w:val="24"/>
                <w:szCs w:val="24"/>
                <w:lang w:bidi="zh-CN"/>
              </w:rPr>
              <w:t>2</w:t>
            </w:r>
            <w:r>
              <w:rPr>
                <w:rFonts w:hint="eastAsia" w:eastAsia="PMingLiU"/>
                <w:color w:val="000000"/>
                <w:sz w:val="24"/>
                <w:szCs w:val="24"/>
                <w:lang w:bidi="zh-CN"/>
              </w:rPr>
              <w:t>6</w:t>
            </w:r>
            <w:r>
              <w:rPr>
                <w:rFonts w:eastAsia="PMingLiU"/>
                <w:color w:val="000000"/>
                <w:sz w:val="24"/>
                <w:szCs w:val="24"/>
                <w:lang w:bidi="zh-CN"/>
              </w:rPr>
              <w:t>分</w:t>
            </w:r>
          </w:p>
        </w:tc>
        <w:tc>
          <w:tcPr>
            <w:tcW w:w="2700" w:type="dxa"/>
            <w:vAlign w:val="center"/>
          </w:tcPr>
          <w:p>
            <w:pPr>
              <w:snapToGrid w:val="0"/>
              <w:spacing w:line="360" w:lineRule="auto"/>
              <w:jc w:val="center"/>
              <w:rPr>
                <w:rFonts w:eastAsia="PMingLiU"/>
                <w:color w:val="000000"/>
                <w:sz w:val="24"/>
                <w:szCs w:val="24"/>
                <w:lang w:val="zh-CN" w:bidi="zh-CN"/>
              </w:rPr>
            </w:pPr>
            <w:r>
              <w:rPr>
                <w:sz w:val="24"/>
                <w:szCs w:val="24"/>
              </w:rPr>
              <w:t>服务承诺与响应</w:t>
            </w:r>
          </w:p>
        </w:tc>
        <w:tc>
          <w:tcPr>
            <w:tcW w:w="4195" w:type="dxa"/>
            <w:vAlign w:val="center"/>
          </w:tcPr>
          <w:p>
            <w:pPr>
              <w:spacing w:before="156" w:beforeLines="50" w:after="156" w:afterLines="50" w:line="30" w:lineRule="atLeast"/>
              <w:rPr>
                <w:b/>
                <w:bCs/>
                <w:color w:val="000000"/>
                <w:sz w:val="24"/>
                <w:szCs w:val="24"/>
                <w:highlight w:val="none"/>
              </w:rPr>
            </w:pPr>
            <w:r>
              <w:rPr>
                <w:rFonts w:hint="eastAsia"/>
                <w:sz w:val="24"/>
                <w:szCs w:val="24"/>
                <w:highlight w:val="none"/>
              </w:rPr>
              <w:t>可针对采购需求（三）技术</w:t>
            </w:r>
            <w:r>
              <w:rPr>
                <w:sz w:val="24"/>
                <w:szCs w:val="24"/>
                <w:highlight w:val="none"/>
              </w:rPr>
              <w:t>/</w:t>
            </w:r>
            <w:r>
              <w:rPr>
                <w:rFonts w:hint="eastAsia"/>
                <w:sz w:val="24"/>
                <w:szCs w:val="24"/>
                <w:highlight w:val="none"/>
              </w:rPr>
              <w:t>服务标准与要求中的1.1、1.3、1.4、2.1、2.2、2.3、2.4、2.5、2.6、2.7、2.8、2.9、3.2、3.3、3.4、4.1、4.2、5.1、5.2、5.3、5.4、5.5、5.6、5.7、7.1、</w:t>
            </w:r>
            <w:r>
              <w:rPr>
                <w:sz w:val="24"/>
                <w:szCs w:val="24"/>
                <w:highlight w:val="none"/>
              </w:rPr>
              <w:t>13.1所有指标均满足得26分，每不满足一项扣1分，扣完为止。 需提供承诺函或相关证明材料，不提供不得分</w:t>
            </w:r>
            <w:r>
              <w:rPr>
                <w:rFonts w:hint="eastAsia"/>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sz w:val="21"/>
                <w:szCs w:val="21"/>
              </w:rPr>
            </w:pPr>
            <w:r>
              <w:rPr>
                <w:color w:val="000000"/>
                <w:kern w:val="2"/>
              </w:rPr>
              <w:t>6分</w:t>
            </w:r>
          </w:p>
        </w:tc>
        <w:tc>
          <w:tcPr>
            <w:tcW w:w="2700" w:type="dxa"/>
            <w:vAlign w:val="center"/>
          </w:tcPr>
          <w:p>
            <w:pPr>
              <w:pStyle w:val="11"/>
              <w:wordWrap w:val="0"/>
              <w:jc w:val="center"/>
              <w:rPr>
                <w:color w:val="000000"/>
              </w:rPr>
            </w:pPr>
            <w:r>
              <w:t>实验室认证情况</w:t>
            </w:r>
          </w:p>
        </w:tc>
        <w:tc>
          <w:tcPr>
            <w:tcW w:w="4195" w:type="dxa"/>
          </w:tcPr>
          <w:p>
            <w:pPr>
              <w:jc w:val="left"/>
              <w:rPr>
                <w:color w:val="000000"/>
                <w:sz w:val="24"/>
                <w:szCs w:val="24"/>
                <w:highlight w:val="none"/>
              </w:rPr>
            </w:pPr>
            <w:r>
              <w:rPr>
                <w:rFonts w:hint="eastAsia"/>
                <w:sz w:val="24"/>
                <w:szCs w:val="24"/>
                <w:highlight w:val="none"/>
                <w:lang w:bidi="zh-CN"/>
              </w:rPr>
              <w:t>可针对采购需求中的（三）技术/服务标准与要求中的1.2、1.5，（1）</w:t>
            </w:r>
            <w:r>
              <w:rPr>
                <w:rFonts w:hint="eastAsia"/>
                <w:sz w:val="24"/>
                <w:szCs w:val="24"/>
                <w:highlight w:val="none"/>
                <w:lang w:val="zh-CN" w:bidi="zh-CN"/>
              </w:rPr>
              <w:t>通过ISO15189《医学实验室-质量和能力的要求》</w:t>
            </w:r>
            <w:r>
              <w:rPr>
                <w:sz w:val="24"/>
                <w:szCs w:val="24"/>
                <w:highlight w:val="none"/>
                <w:lang w:val="zh-CN" w:bidi="zh-CN"/>
              </w:rPr>
              <w:t xml:space="preserve">的认证且证书在有效期内，得2分。 </w:t>
            </w:r>
            <w:r>
              <w:rPr>
                <w:rFonts w:hint="eastAsia"/>
                <w:sz w:val="24"/>
                <w:szCs w:val="24"/>
                <w:highlight w:val="none"/>
                <w:lang w:val="zh-CN" w:bidi="zh-CN"/>
              </w:rPr>
              <w:t>（</w:t>
            </w:r>
            <w:r>
              <w:rPr>
                <w:rFonts w:hint="eastAsia"/>
                <w:sz w:val="24"/>
                <w:szCs w:val="24"/>
                <w:highlight w:val="none"/>
                <w:lang w:bidi="zh-CN"/>
              </w:rPr>
              <w:t>2</w:t>
            </w:r>
            <w:r>
              <w:rPr>
                <w:rFonts w:hint="eastAsia"/>
                <w:sz w:val="24"/>
                <w:szCs w:val="24"/>
                <w:highlight w:val="none"/>
                <w:lang w:val="zh-CN" w:bidi="zh-CN"/>
              </w:rPr>
              <w:t>）</w:t>
            </w:r>
            <w:r>
              <w:rPr>
                <w:sz w:val="24"/>
                <w:szCs w:val="24"/>
                <w:highlight w:val="none"/>
                <w:lang w:val="zh-CN" w:bidi="zh-CN"/>
              </w:rPr>
              <w:t>比选申请人用于本项目的实验室参加省级或以上室间质评，并通过认证的，得2分。</w:t>
            </w:r>
            <w:r>
              <w:rPr>
                <w:rFonts w:hint="eastAsia"/>
                <w:sz w:val="24"/>
                <w:szCs w:val="24"/>
                <w:highlight w:val="none"/>
                <w:lang w:val="zh-CN" w:bidi="zh-CN"/>
              </w:rPr>
              <w:t>（</w:t>
            </w:r>
            <w:r>
              <w:rPr>
                <w:rFonts w:hint="eastAsia"/>
                <w:sz w:val="24"/>
                <w:szCs w:val="24"/>
                <w:highlight w:val="none"/>
                <w:lang w:bidi="zh-CN"/>
              </w:rPr>
              <w:t>3</w:t>
            </w:r>
            <w:r>
              <w:rPr>
                <w:rFonts w:hint="eastAsia"/>
                <w:sz w:val="24"/>
                <w:szCs w:val="24"/>
                <w:highlight w:val="none"/>
                <w:lang w:val="zh-CN" w:bidi="zh-CN"/>
              </w:rPr>
              <w:t>）</w:t>
            </w:r>
            <w:r>
              <w:rPr>
                <w:sz w:val="24"/>
                <w:szCs w:val="24"/>
                <w:highlight w:val="none"/>
                <w:lang w:val="zh-CN" w:bidi="zh-CN"/>
              </w:rPr>
              <w:t>提供室内质量控制报告，包括质控检测数据、控制标准、质控分析、失控报告，得2分。 注：比选申请人应按要求提供上述相关证明材料，不符合或不提供不得分。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sz w:val="21"/>
                <w:szCs w:val="21"/>
              </w:rPr>
            </w:pPr>
            <w:r>
              <w:rPr>
                <w:rFonts w:hint="eastAsia"/>
                <w:color w:val="000000"/>
                <w:kern w:val="2"/>
              </w:rPr>
              <w:t>8</w:t>
            </w:r>
            <w:r>
              <w:rPr>
                <w:color w:val="000000"/>
                <w:kern w:val="2"/>
              </w:rPr>
              <w:t>分</w:t>
            </w:r>
          </w:p>
        </w:tc>
        <w:tc>
          <w:tcPr>
            <w:tcW w:w="2700" w:type="dxa"/>
            <w:vAlign w:val="center"/>
          </w:tcPr>
          <w:p>
            <w:pPr>
              <w:pStyle w:val="11"/>
              <w:wordWrap w:val="0"/>
              <w:jc w:val="center"/>
              <w:rPr>
                <w:color w:val="000000"/>
              </w:rPr>
            </w:pPr>
            <w:r>
              <w:t>物流服务能力</w:t>
            </w:r>
          </w:p>
        </w:tc>
        <w:tc>
          <w:tcPr>
            <w:tcW w:w="4195" w:type="dxa"/>
          </w:tcPr>
          <w:p>
            <w:pPr>
              <w:jc w:val="left"/>
              <w:rPr>
                <w:color w:val="000000"/>
                <w:sz w:val="24"/>
                <w:szCs w:val="24"/>
                <w:highlight w:val="none"/>
              </w:rPr>
            </w:pPr>
            <w:r>
              <w:rPr>
                <w:rFonts w:hint="eastAsia"/>
                <w:sz w:val="24"/>
                <w:szCs w:val="24"/>
                <w:highlight w:val="none"/>
              </w:rPr>
              <w:t>可针对采购需求中13.运输要求中：</w:t>
            </w:r>
            <w:r>
              <w:rPr>
                <w:sz w:val="24"/>
                <w:szCs w:val="24"/>
                <w:highlight w:val="none"/>
              </w:rPr>
              <w:t xml:space="preserve">1. 比选申请人的物流标本箱具备定位功能和温度监控功能，且可实现全程实时监测，标本箱有相应的生物安全标识及紧急联系人及其联系电话（需提供标本箱实物图片），得2分； 2. 比选申请人物流团队至少为本项目配备2辆运输车辆（需提供车辆清晰照片、车牌号码清晰可见，提供车辆行驶证扫描件及半年内任一月的消毒记录），得2分。 3. 比选申请人物流团队中具有通过CCAI生物安全培训的人员（需提供相关证明文件扫描件），得2分。 </w:t>
            </w:r>
            <w:r>
              <w:rPr>
                <w:rFonts w:hint="eastAsia"/>
                <w:sz w:val="24"/>
                <w:szCs w:val="24"/>
                <w:highlight w:val="none"/>
              </w:rPr>
              <w:t>4</w:t>
            </w:r>
            <w:r>
              <w:rPr>
                <w:sz w:val="24"/>
                <w:szCs w:val="24"/>
                <w:highlight w:val="none"/>
              </w:rPr>
              <w:t>. 比选申请人</w:t>
            </w:r>
            <w:r>
              <w:rPr>
                <w:rFonts w:hint="eastAsia"/>
                <w:sz w:val="24"/>
                <w:szCs w:val="24"/>
                <w:highlight w:val="none"/>
              </w:rPr>
              <w:t>提供</w:t>
            </w:r>
            <w:r>
              <w:rPr>
                <w:sz w:val="24"/>
                <w:szCs w:val="24"/>
                <w:highlight w:val="none"/>
              </w:rPr>
              <w:t>规范的标本接收、登记和包装流程</w:t>
            </w:r>
            <w:r>
              <w:rPr>
                <w:rFonts w:hint="eastAsia"/>
                <w:sz w:val="24"/>
                <w:szCs w:val="24"/>
                <w:highlight w:val="none"/>
              </w:rPr>
              <w:t>（需提供</w:t>
            </w:r>
            <w:r>
              <w:rPr>
                <w:sz w:val="24"/>
                <w:szCs w:val="24"/>
                <w:highlight w:val="none"/>
              </w:rPr>
              <w:t>标本接收、登记和包装</w:t>
            </w:r>
            <w:r>
              <w:rPr>
                <w:rFonts w:hint="eastAsia"/>
                <w:sz w:val="24"/>
                <w:szCs w:val="24"/>
                <w:highlight w:val="none"/>
              </w:rPr>
              <w:t>工作流程）</w:t>
            </w:r>
            <w:r>
              <w:rPr>
                <w:sz w:val="24"/>
                <w:szCs w:val="24"/>
                <w:highlight w:val="none"/>
              </w:rPr>
              <w:t>，得2分。注：比选申请人应按要求提供上述相关证明材料，不符合或不提供不得分；如物流团队为租赁合作性质，还需提供租赁合同扫描件。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sz w:val="21"/>
                <w:szCs w:val="21"/>
              </w:rPr>
            </w:pPr>
            <w:r>
              <w:rPr>
                <w:color w:val="000000"/>
                <w:kern w:val="2"/>
              </w:rPr>
              <w:t>3分</w:t>
            </w:r>
          </w:p>
        </w:tc>
        <w:tc>
          <w:tcPr>
            <w:tcW w:w="2700" w:type="dxa"/>
            <w:vAlign w:val="center"/>
          </w:tcPr>
          <w:p>
            <w:pPr>
              <w:pStyle w:val="11"/>
              <w:wordWrap w:val="0"/>
              <w:jc w:val="center"/>
              <w:rPr>
                <w:color w:val="000000"/>
              </w:rPr>
            </w:pPr>
            <w:r>
              <w:t>培训方案</w:t>
            </w:r>
          </w:p>
        </w:tc>
        <w:tc>
          <w:tcPr>
            <w:tcW w:w="4195" w:type="dxa"/>
          </w:tcPr>
          <w:p>
            <w:pPr>
              <w:jc w:val="left"/>
              <w:rPr>
                <w:color w:val="000000"/>
                <w:sz w:val="24"/>
                <w:szCs w:val="24"/>
              </w:rPr>
            </w:pPr>
            <w:r>
              <w:rPr>
                <w:rFonts w:hint="eastAsia"/>
                <w:sz w:val="24"/>
                <w:szCs w:val="24"/>
                <w:highlight w:val="none"/>
                <w:lang w:bidi="zh-CN"/>
              </w:rPr>
              <w:t>可针对采购需求</w:t>
            </w:r>
            <w:r>
              <w:rPr>
                <w:rFonts w:hint="eastAsia"/>
                <w:sz w:val="24"/>
                <w:szCs w:val="24"/>
                <w:highlight w:val="none"/>
              </w:rPr>
              <w:t>7.其它要求中的7.2：</w:t>
            </w:r>
            <w:r>
              <w:rPr>
                <w:sz w:val="24"/>
                <w:szCs w:val="24"/>
              </w:rPr>
              <w:t>提供的培训方案进行综合评审： （1）能提供培训方案，得1分； （2）培训方案中同时包括对自有员工（包括但不限于标本运送、接收、检测人员）及对采购人医务人员的培训内容及流程安排的，得1分； （3）针对对采购人医务人员的培训内容及流程安排，比选申请人能提供多于每年两次或优于技术培训、ISO15189知识培训的培训内容的，得1分；不能满足采购需求的，不得分。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sz w:val="21"/>
                <w:szCs w:val="21"/>
              </w:rPr>
            </w:pPr>
            <w:r>
              <w:rPr>
                <w:color w:val="000000"/>
                <w:kern w:val="2"/>
              </w:rPr>
              <w:t>6</w:t>
            </w:r>
            <w:r>
              <w:t>分</w:t>
            </w:r>
          </w:p>
        </w:tc>
        <w:tc>
          <w:tcPr>
            <w:tcW w:w="2700" w:type="dxa"/>
            <w:vAlign w:val="center"/>
          </w:tcPr>
          <w:p>
            <w:pPr>
              <w:pStyle w:val="11"/>
              <w:wordWrap w:val="0"/>
              <w:jc w:val="center"/>
            </w:pPr>
            <w:r>
              <w:t>应急方案</w:t>
            </w:r>
          </w:p>
        </w:tc>
        <w:tc>
          <w:tcPr>
            <w:tcW w:w="4195" w:type="dxa"/>
          </w:tcPr>
          <w:p>
            <w:pPr>
              <w:jc w:val="left"/>
              <w:rPr>
                <w:sz w:val="24"/>
                <w:szCs w:val="24"/>
              </w:rPr>
            </w:pPr>
            <w:r>
              <w:rPr>
                <w:rFonts w:hint="eastAsia"/>
                <w:sz w:val="24"/>
                <w:szCs w:val="24"/>
                <w:highlight w:val="none"/>
              </w:rPr>
              <w:t>可针对采购需求中7.其它要求中的7.3：</w:t>
            </w:r>
            <w:r>
              <w:rPr>
                <w:sz w:val="24"/>
                <w:szCs w:val="24"/>
              </w:rPr>
              <w:t>提供的应急方案（包括但不限于标本接收、运输、检测、结果上报、查询等环节的流程处理）进行综合评审： （1）能提供应急方案，得2分； （2）应急方案中包括标本接收、运输、检测、结果上报、查询等环节的流程处理，得2分； （3）针对标本接收、运输、检测、结果上报、查询等环节的流程处理，比选申请人能提供优于采购需求检测时限、质量要求的处理流程，得2分；能提供满足采购需求检测时限、质量要求的处理流程，得1分；不能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sz w:val="21"/>
                <w:szCs w:val="21"/>
              </w:rPr>
            </w:pPr>
            <w:r>
              <w:rPr>
                <w:color w:val="000000"/>
                <w:kern w:val="2"/>
              </w:rPr>
              <w:t>3分</w:t>
            </w:r>
          </w:p>
        </w:tc>
        <w:tc>
          <w:tcPr>
            <w:tcW w:w="2700" w:type="dxa"/>
            <w:vAlign w:val="center"/>
          </w:tcPr>
          <w:p>
            <w:pPr>
              <w:pStyle w:val="11"/>
              <w:wordWrap w:val="0"/>
              <w:jc w:val="center"/>
            </w:pPr>
            <w:r>
              <w:t>售后服务保障</w:t>
            </w:r>
          </w:p>
        </w:tc>
        <w:tc>
          <w:tcPr>
            <w:tcW w:w="4195" w:type="dxa"/>
          </w:tcPr>
          <w:p>
            <w:pPr>
              <w:jc w:val="left"/>
              <w:rPr>
                <w:sz w:val="24"/>
                <w:szCs w:val="24"/>
                <w:highlight w:val="none"/>
              </w:rPr>
            </w:pPr>
            <w:r>
              <w:rPr>
                <w:rFonts w:hint="eastAsia"/>
                <w:sz w:val="24"/>
                <w:szCs w:val="24"/>
                <w:highlight w:val="none"/>
              </w:rPr>
              <w:t>可针对采购需求中14.售后服务要求：</w:t>
            </w:r>
            <w:r>
              <w:rPr>
                <w:sz w:val="24"/>
                <w:szCs w:val="24"/>
                <w:highlight w:val="none"/>
              </w:rPr>
              <w:t>提供的售后服务方案（包括售后保障制度、内容及流程安排、售后服务团队人员配置）进行综合评审： （1）能提供售后服务保障方案，得1分； （2）售后服务保障方案能同时包括售后保障制度、内容及流程安排、售后服务团队人员配置的，得1分； （3）针对售后保障制度，比选申请人能满足服务电话、网络查询、微信查询的渠道供采购人进行业务咨询、报告查询、账单查询统计的，得</w:t>
            </w:r>
            <w:r>
              <w:rPr>
                <w:rFonts w:hint="eastAsia"/>
                <w:sz w:val="24"/>
                <w:szCs w:val="24"/>
                <w:highlight w:val="none"/>
              </w:rPr>
              <w:t>1</w:t>
            </w:r>
            <w:r>
              <w:rPr>
                <w:sz w:val="24"/>
                <w:szCs w:val="24"/>
                <w:highlight w:val="none"/>
              </w:rPr>
              <w:t>分；不能满足采购需求的，不得分。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sz w:val="21"/>
                <w:szCs w:val="21"/>
              </w:rPr>
            </w:pPr>
            <w:r>
              <w:rPr>
                <w:color w:val="000000"/>
                <w:kern w:val="2"/>
              </w:rPr>
              <w:t>3</w:t>
            </w:r>
            <w:r>
              <w:t>分</w:t>
            </w:r>
          </w:p>
        </w:tc>
        <w:tc>
          <w:tcPr>
            <w:tcW w:w="2700" w:type="dxa"/>
            <w:vAlign w:val="center"/>
          </w:tcPr>
          <w:p>
            <w:pPr>
              <w:pStyle w:val="11"/>
              <w:wordWrap w:val="0"/>
              <w:jc w:val="center"/>
            </w:pPr>
            <w:r>
              <w:t>院感防控服务能力</w:t>
            </w:r>
          </w:p>
        </w:tc>
        <w:tc>
          <w:tcPr>
            <w:tcW w:w="4195" w:type="dxa"/>
          </w:tcPr>
          <w:p>
            <w:pPr>
              <w:jc w:val="left"/>
              <w:rPr>
                <w:sz w:val="24"/>
                <w:szCs w:val="24"/>
                <w:highlight w:val="none"/>
              </w:rPr>
            </w:pPr>
            <w:r>
              <w:rPr>
                <w:rFonts w:hint="eastAsia"/>
                <w:highlight w:val="none"/>
              </w:rPr>
              <w:t>可针对采购需求</w:t>
            </w:r>
            <w:r>
              <w:rPr>
                <w:highlight w:val="none"/>
              </w:rPr>
              <w:t>（三）技术/服务标准与要求</w:t>
            </w:r>
            <w:r>
              <w:rPr>
                <w:sz w:val="24"/>
                <w:szCs w:val="24"/>
                <w:highlight w:val="none"/>
              </w:rPr>
              <w:t>中的</w:t>
            </w:r>
            <w:r>
              <w:rPr>
                <w:rFonts w:hint="eastAsia"/>
                <w:sz w:val="24"/>
                <w:szCs w:val="24"/>
                <w:highlight w:val="none"/>
              </w:rPr>
              <w:t>实验室要求，</w:t>
            </w:r>
            <w:r>
              <w:rPr>
                <w:sz w:val="24"/>
                <w:szCs w:val="24"/>
                <w:highlight w:val="none"/>
              </w:rPr>
              <w:t>比选申请人实验室拥有全自动微生物检测平台，可提供从接种、培养、鉴定、药敏等全自动、标准化的检测，可为采购人提供微生物检测服务的，得3分。 注：需提供全自动微生物样本检测的设备合同或发票、实物照片、标准操作规程文件，不提供或者提供不全不得分。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3"/>
          </w:tcPr>
          <w:p>
            <w:pPr>
              <w:pStyle w:val="12"/>
              <w:ind w:firstLine="211"/>
              <w:jc w:val="center"/>
              <w:rPr>
                <w:rFonts w:hint="default" w:ascii="Times New Roman" w:hAnsi="Times New Roman"/>
                <w:sz w:val="21"/>
                <w:szCs w:val="21"/>
              </w:rPr>
            </w:pPr>
            <w:r>
              <w:rPr>
                <w:rFonts w:hint="default" w:ascii="Times New Roman" w:hAnsi="Times New Roman" w:eastAsia="宋体"/>
                <w:b/>
                <w:color w:val="000000"/>
                <w:sz w:val="21"/>
                <w:szCs w:val="21"/>
              </w:rPr>
              <w:t>商务评分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napToGrid w:val="0"/>
              <w:spacing w:line="360" w:lineRule="auto"/>
              <w:jc w:val="center"/>
              <w:rPr>
                <w:szCs w:val="21"/>
              </w:rPr>
            </w:pPr>
            <w:r>
              <w:rPr>
                <w:color w:val="000000"/>
                <w:szCs w:val="21"/>
              </w:rPr>
              <w:t>分值（3</w:t>
            </w:r>
            <w:r>
              <w:rPr>
                <w:rFonts w:hint="eastAsia"/>
                <w:color w:val="000000"/>
                <w:szCs w:val="21"/>
              </w:rPr>
              <w:t>0</w:t>
            </w:r>
            <w:r>
              <w:rPr>
                <w:color w:val="000000"/>
                <w:szCs w:val="21"/>
              </w:rPr>
              <w:t>）</w:t>
            </w:r>
          </w:p>
        </w:tc>
        <w:tc>
          <w:tcPr>
            <w:tcW w:w="2700" w:type="dxa"/>
            <w:vAlign w:val="center"/>
          </w:tcPr>
          <w:p>
            <w:pPr>
              <w:snapToGrid w:val="0"/>
              <w:spacing w:line="360" w:lineRule="auto"/>
              <w:jc w:val="center"/>
              <w:rPr>
                <w:szCs w:val="21"/>
              </w:rPr>
            </w:pPr>
            <w:r>
              <w:rPr>
                <w:color w:val="000000"/>
                <w:szCs w:val="21"/>
              </w:rPr>
              <w:t>评审内容</w:t>
            </w:r>
          </w:p>
        </w:tc>
        <w:tc>
          <w:tcPr>
            <w:tcW w:w="4195" w:type="dxa"/>
            <w:vAlign w:val="center"/>
          </w:tcPr>
          <w:p>
            <w:pPr>
              <w:snapToGrid w:val="0"/>
              <w:spacing w:line="360" w:lineRule="auto"/>
              <w:jc w:val="center"/>
              <w:rPr>
                <w:szCs w:val="21"/>
              </w:rPr>
            </w:pPr>
            <w:r>
              <w:rPr>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1745" w:type="dxa"/>
            <w:shd w:val="clear" w:color="auto" w:fill="FFFFFF" w:themeFill="background1"/>
            <w:vAlign w:val="center"/>
          </w:tcPr>
          <w:p>
            <w:pPr>
              <w:pStyle w:val="11"/>
              <w:wordWrap w:val="0"/>
              <w:jc w:val="center"/>
              <w:rPr>
                <w:color w:val="000000"/>
                <w:highlight w:val="none"/>
              </w:rPr>
            </w:pPr>
            <w:r>
              <w:rPr>
                <w:color w:val="000000"/>
                <w:kern w:val="2"/>
                <w:highlight w:val="none"/>
              </w:rPr>
              <w:t>1</w:t>
            </w:r>
            <w:r>
              <w:rPr>
                <w:rFonts w:hint="eastAsia"/>
                <w:color w:val="000000"/>
                <w:kern w:val="2"/>
                <w:highlight w:val="none"/>
              </w:rPr>
              <w:t>2</w:t>
            </w:r>
            <w:r>
              <w:rPr>
                <w:color w:val="000000"/>
                <w:kern w:val="2"/>
                <w:highlight w:val="none"/>
              </w:rPr>
              <w:t>分</w:t>
            </w:r>
          </w:p>
        </w:tc>
        <w:tc>
          <w:tcPr>
            <w:tcW w:w="2700" w:type="dxa"/>
            <w:shd w:val="clear" w:color="auto" w:fill="FFFFFF" w:themeFill="background1"/>
            <w:vAlign w:val="center"/>
          </w:tcPr>
          <w:p>
            <w:pPr>
              <w:pStyle w:val="11"/>
              <w:wordWrap w:val="0"/>
              <w:jc w:val="center"/>
              <w:rPr>
                <w:color w:val="000000"/>
                <w:highlight w:val="none"/>
              </w:rPr>
            </w:pPr>
            <w:r>
              <w:rPr>
                <w:highlight w:val="none"/>
              </w:rPr>
              <w:t>本项目投入的技术人员资质</w:t>
            </w:r>
          </w:p>
        </w:tc>
        <w:tc>
          <w:tcPr>
            <w:tcW w:w="4195" w:type="dxa"/>
            <w:shd w:val="clear" w:color="auto" w:fill="FFFFFF" w:themeFill="background1"/>
            <w:vAlign w:val="center"/>
          </w:tcPr>
          <w:p>
            <w:pPr>
              <w:pStyle w:val="11"/>
              <w:wordWrap w:val="0"/>
              <w:rPr>
                <w:color w:val="000000"/>
                <w:highlight w:val="none"/>
              </w:rPr>
            </w:pPr>
            <w:r>
              <w:rPr>
                <w:highlight w:val="none"/>
              </w:rPr>
              <w:t>1. 比选申请人实验室技术人员具备临床医学检验技术</w:t>
            </w:r>
            <w:r>
              <w:rPr>
                <w:rFonts w:hint="eastAsia"/>
                <w:highlight w:val="none"/>
              </w:rPr>
              <w:t>或病理学或</w:t>
            </w:r>
            <w:r>
              <w:rPr>
                <w:highlight w:val="none"/>
              </w:rPr>
              <w:t>临床医学相关专业</w:t>
            </w:r>
            <w:r>
              <w:rPr>
                <w:rFonts w:hint="eastAsia"/>
                <w:highlight w:val="none"/>
              </w:rPr>
              <w:t>，且</w:t>
            </w:r>
            <w:r>
              <w:rPr>
                <w:highlight w:val="none"/>
              </w:rPr>
              <w:t>高级或以上职称，每提供1人得1分，满分</w:t>
            </w:r>
            <w:r>
              <w:rPr>
                <w:rFonts w:hint="eastAsia"/>
                <w:highlight w:val="none"/>
              </w:rPr>
              <w:t>6</w:t>
            </w:r>
            <w:r>
              <w:rPr>
                <w:highlight w:val="none"/>
              </w:rPr>
              <w:t>分。2. 比选申请人实验室技术人员具备临床医学检验技术</w:t>
            </w:r>
            <w:r>
              <w:rPr>
                <w:rFonts w:hint="eastAsia"/>
                <w:highlight w:val="none"/>
              </w:rPr>
              <w:t>或病理学</w:t>
            </w:r>
            <w:r>
              <w:rPr>
                <w:highlight w:val="none"/>
              </w:rPr>
              <w:t>或临床医学相关专业中级职称，每提供1人得1分，满分6分。以上两项人员不得重复，重复仅计算最高职称的得分。本项合计最高得1</w:t>
            </w:r>
            <w:r>
              <w:rPr>
                <w:rFonts w:hint="eastAsia"/>
                <w:highlight w:val="none"/>
              </w:rPr>
              <w:t>2</w:t>
            </w:r>
            <w:r>
              <w:rPr>
                <w:highlight w:val="none"/>
              </w:rPr>
              <w:t>分。需</w:t>
            </w:r>
            <w:r>
              <w:rPr>
                <w:rFonts w:hint="eastAsia"/>
                <w:highlight w:val="none"/>
              </w:rPr>
              <w:t>同时</w:t>
            </w:r>
            <w:r>
              <w:rPr>
                <w:highlight w:val="none"/>
              </w:rPr>
              <w:t>提供：以上人员</w:t>
            </w:r>
            <w:r>
              <w:rPr>
                <w:rFonts w:hint="eastAsia"/>
                <w:highlight w:val="none"/>
              </w:rPr>
              <w:t>毕业证、</w:t>
            </w:r>
            <w:r>
              <w:rPr>
                <w:highlight w:val="none"/>
              </w:rPr>
              <w:t>职称证书扫描件、比选申请人为相关人员购买</w:t>
            </w:r>
            <w:r>
              <w:rPr>
                <w:rFonts w:hint="eastAsia"/>
                <w:highlight w:val="none"/>
              </w:rPr>
              <w:t>比选</w:t>
            </w:r>
            <w:r>
              <w:rPr>
                <w:highlight w:val="none"/>
              </w:rPr>
              <w:t>截止之日前六个月内任意月份社保的证明文件扫描件，不符合或不提供不得分。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color w:val="000000"/>
                <w:highlight w:val="none"/>
              </w:rPr>
            </w:pPr>
            <w:r>
              <w:rPr>
                <w:rFonts w:hint="eastAsia"/>
                <w:color w:val="000000"/>
                <w:kern w:val="2"/>
                <w:highlight w:val="none"/>
              </w:rPr>
              <w:t>6分</w:t>
            </w:r>
          </w:p>
        </w:tc>
        <w:tc>
          <w:tcPr>
            <w:tcW w:w="2700" w:type="dxa"/>
            <w:vAlign w:val="center"/>
          </w:tcPr>
          <w:p>
            <w:pPr>
              <w:pStyle w:val="11"/>
              <w:wordWrap w:val="0"/>
              <w:jc w:val="center"/>
              <w:rPr>
                <w:color w:val="000000"/>
                <w:highlight w:val="none"/>
              </w:rPr>
            </w:pPr>
            <w:r>
              <w:rPr>
                <w:rFonts w:hint="eastAsia"/>
                <w:highlight w:val="none"/>
              </w:rPr>
              <w:t>综合实力</w:t>
            </w:r>
          </w:p>
        </w:tc>
        <w:tc>
          <w:tcPr>
            <w:tcW w:w="4195" w:type="dxa"/>
            <w:vAlign w:val="center"/>
          </w:tcPr>
          <w:p>
            <w:pPr>
              <w:pStyle w:val="11"/>
              <w:wordWrap w:val="0"/>
              <w:rPr>
                <w:color w:val="000000"/>
                <w:highlight w:val="none"/>
              </w:rPr>
            </w:pPr>
            <w:r>
              <w:rPr>
                <w:highlight w:val="none"/>
              </w:rPr>
              <w:t xml:space="preserve">1. 企业综合认证水平: 1) 比选申请人通过质量管理体系认证； </w:t>
            </w:r>
            <w:r>
              <w:rPr>
                <w:rFonts w:hint="eastAsia"/>
                <w:highlight w:val="none"/>
              </w:rPr>
              <w:t>2</w:t>
            </w:r>
            <w:r>
              <w:rPr>
                <w:highlight w:val="none"/>
              </w:rPr>
              <w:t xml:space="preserve">) 比选申请人通过环境管理体系认证； </w:t>
            </w:r>
            <w:r>
              <w:rPr>
                <w:rFonts w:hint="eastAsia"/>
                <w:highlight w:val="none"/>
              </w:rPr>
              <w:t>3</w:t>
            </w:r>
            <w:r>
              <w:rPr>
                <w:highlight w:val="none"/>
              </w:rPr>
              <w:t>) 比选申请人通过职业健康安全管理体系认证。 比选申请人每提供一项认证得2分，满分</w:t>
            </w:r>
            <w:r>
              <w:rPr>
                <w:rFonts w:hint="eastAsia"/>
                <w:highlight w:val="none"/>
              </w:rPr>
              <w:t>6</w:t>
            </w:r>
            <w:r>
              <w:rPr>
                <w:highlight w:val="none"/>
              </w:rPr>
              <w:t>分。（提供有效期内的证书扫描件及在全国认证认可信息公共服务平台上对证书的查询结果截图为证明材料。如</w:t>
            </w:r>
            <w:r>
              <w:rPr>
                <w:rFonts w:hint="eastAsia"/>
                <w:highlight w:val="none"/>
              </w:rPr>
              <w:t>比选申请人</w:t>
            </w:r>
            <w:r>
              <w:rPr>
                <w:highlight w:val="none"/>
              </w:rPr>
              <w:t>成立时间不足三个月，导致未能取得相关认证且提供书面说明的，对应证书可得分。</w:t>
            </w:r>
            <w:r>
              <w:rPr>
                <w:rFonts w:hint="eastAsia"/>
                <w:highlight w:val="none"/>
              </w:rPr>
              <w:t>其他或</w:t>
            </w:r>
            <w:r>
              <w:rPr>
                <w:highlight w:val="none"/>
              </w:rPr>
              <w:t>不提供</w:t>
            </w:r>
            <w:r>
              <w:rPr>
                <w:rFonts w:hint="eastAsia"/>
                <w:highlight w:val="none"/>
              </w:rPr>
              <w:t>的</w:t>
            </w:r>
            <w:r>
              <w:rPr>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color w:val="000000"/>
              </w:rPr>
            </w:pPr>
            <w:r>
              <w:rPr>
                <w:rFonts w:hint="eastAsia"/>
                <w:color w:val="000000"/>
                <w:kern w:val="2"/>
              </w:rPr>
              <w:t>7</w:t>
            </w:r>
            <w:r>
              <w:rPr>
                <w:color w:val="000000"/>
                <w:kern w:val="2"/>
              </w:rPr>
              <w:t>分</w:t>
            </w:r>
          </w:p>
        </w:tc>
        <w:tc>
          <w:tcPr>
            <w:tcW w:w="2700" w:type="dxa"/>
            <w:vAlign w:val="center"/>
          </w:tcPr>
          <w:p>
            <w:pPr>
              <w:pStyle w:val="11"/>
              <w:wordWrap w:val="0"/>
              <w:jc w:val="center"/>
              <w:rPr>
                <w:color w:val="000000"/>
              </w:rPr>
            </w:pPr>
            <w:r>
              <w:t>同类项目业绩</w:t>
            </w:r>
          </w:p>
        </w:tc>
        <w:tc>
          <w:tcPr>
            <w:tcW w:w="4195" w:type="dxa"/>
            <w:vAlign w:val="center"/>
          </w:tcPr>
          <w:p>
            <w:pPr>
              <w:pStyle w:val="11"/>
              <w:wordWrap w:val="0"/>
              <w:rPr>
                <w:color w:val="000000"/>
              </w:rPr>
            </w:pPr>
            <w:r>
              <w:t>根据比选申请人2022年（以合同签订时间为准）以来为不同的委托单位进行检验检查外送服务类项目的业绩，每提供一份有效合同得1分，满分</w:t>
            </w:r>
            <w:r>
              <w:rPr>
                <w:rFonts w:hint="eastAsia"/>
              </w:rPr>
              <w:t>7</w:t>
            </w:r>
            <w:r>
              <w:t>分。 注:同一家委托单位的合同不重复计分。分支机构</w:t>
            </w:r>
            <w:r>
              <w:rPr>
                <w:rFonts w:hint="eastAsia"/>
                <w:lang w:eastAsia="zh-CN"/>
              </w:rPr>
              <w:t>参加比选</w:t>
            </w:r>
            <w:r>
              <w:t>的，总公司业绩可纳入评审。需提供合同关键页(含签订合同双方的单位名称、合同项目名称与含签订合同双方的落款盖章、签订日期页)扫描件作为证明材料，请比选申请人严格按照要求提交相关证明材料，否则影响评审结果。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pStyle w:val="11"/>
              <w:wordWrap w:val="0"/>
              <w:jc w:val="center"/>
              <w:rPr>
                <w:color w:val="000000"/>
              </w:rPr>
            </w:pPr>
            <w:r>
              <w:rPr>
                <w:rFonts w:hint="eastAsia"/>
                <w:color w:val="000000"/>
                <w:kern w:val="2"/>
              </w:rPr>
              <w:t>5</w:t>
            </w:r>
            <w:r>
              <w:rPr>
                <w:color w:val="000000"/>
                <w:kern w:val="2"/>
              </w:rPr>
              <w:t>分</w:t>
            </w:r>
          </w:p>
        </w:tc>
        <w:tc>
          <w:tcPr>
            <w:tcW w:w="2700" w:type="dxa"/>
            <w:vAlign w:val="center"/>
          </w:tcPr>
          <w:p>
            <w:pPr>
              <w:pStyle w:val="11"/>
              <w:wordWrap w:val="0"/>
              <w:jc w:val="center"/>
              <w:rPr>
                <w:color w:val="000000"/>
              </w:rPr>
            </w:pPr>
            <w:r>
              <w:t>对非重大违法违规记录的扣分</w:t>
            </w:r>
          </w:p>
        </w:tc>
        <w:tc>
          <w:tcPr>
            <w:tcW w:w="4195" w:type="dxa"/>
            <w:vAlign w:val="center"/>
          </w:tcPr>
          <w:p>
            <w:pPr>
              <w:pStyle w:val="11"/>
              <w:wordWrap w:val="0"/>
              <w:rPr>
                <w:color w:val="000000"/>
              </w:rPr>
            </w:pPr>
            <w:r>
              <w:t>以“信用中国”（www.creditchina.gov.cn）网站为查询渠道：对列入行政处罚或经营异常的</w:t>
            </w:r>
            <w:r>
              <w:rPr>
                <w:rFonts w:hint="eastAsia"/>
              </w:rPr>
              <w:t>比选</w:t>
            </w:r>
            <w:r>
              <w:t>人每一条记录扣</w:t>
            </w:r>
            <w:r>
              <w:rPr>
                <w:rFonts w:hint="eastAsia"/>
              </w:rPr>
              <w:t>1</w:t>
            </w:r>
            <w:r>
              <w:t>分，最高扣</w:t>
            </w:r>
            <w:r>
              <w:rPr>
                <w:rFonts w:hint="eastAsia"/>
              </w:rPr>
              <w:t>5</w:t>
            </w:r>
            <w:r>
              <w:t>分。如查询结果显示没有相关记录，视为没有上述非重大违法违规记录，则不扣分。以</w:t>
            </w:r>
            <w:r>
              <w:rPr>
                <w:rFonts w:hint="eastAsia"/>
              </w:rPr>
              <w:t>评选</w:t>
            </w:r>
            <w:r>
              <w:t>小组于评审时在上述网站查询结果为准，</w:t>
            </w:r>
            <w:r>
              <w:rPr>
                <w:rFonts w:hint="eastAsia"/>
              </w:rPr>
              <w:t>评选</w:t>
            </w:r>
            <w:r>
              <w:t>小组应将上述记录查询情况截图存档。注：总公司（总所）</w:t>
            </w:r>
            <w:r>
              <w:rPr>
                <w:rFonts w:hint="eastAsia"/>
              </w:rPr>
              <w:t>比选</w:t>
            </w:r>
            <w:r>
              <w:t>的，只查询总公司（总所）；分支机构（分所）</w:t>
            </w:r>
            <w:r>
              <w:rPr>
                <w:rFonts w:hint="eastAsia"/>
              </w:rPr>
              <w:t>比选</w:t>
            </w:r>
            <w:r>
              <w:t>的，只查询该分支机构。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gridSpan w:val="3"/>
          </w:tcPr>
          <w:p>
            <w:pPr>
              <w:pStyle w:val="12"/>
              <w:ind w:firstLine="211"/>
              <w:jc w:val="center"/>
              <w:rPr>
                <w:rFonts w:hint="default" w:ascii="Times New Roman" w:hAnsi="Times New Roman"/>
                <w:sz w:val="21"/>
                <w:szCs w:val="21"/>
              </w:rPr>
            </w:pPr>
            <w:r>
              <w:rPr>
                <w:rFonts w:hint="default" w:ascii="Times New Roman" w:hAnsi="Times New Roman" w:eastAsia="宋体"/>
                <w:b/>
                <w:color w:val="000000"/>
                <w:sz w:val="21"/>
                <w:szCs w:val="21"/>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napToGrid w:val="0"/>
              <w:spacing w:line="360" w:lineRule="auto"/>
              <w:jc w:val="center"/>
              <w:rPr>
                <w:szCs w:val="21"/>
              </w:rPr>
            </w:pPr>
            <w:r>
              <w:rPr>
                <w:color w:val="000000"/>
                <w:szCs w:val="21"/>
              </w:rPr>
              <w:t>分值（15）</w:t>
            </w:r>
          </w:p>
        </w:tc>
        <w:tc>
          <w:tcPr>
            <w:tcW w:w="2700" w:type="dxa"/>
            <w:vAlign w:val="center"/>
          </w:tcPr>
          <w:p>
            <w:pPr>
              <w:snapToGrid w:val="0"/>
              <w:spacing w:line="360" w:lineRule="auto"/>
              <w:jc w:val="center"/>
              <w:rPr>
                <w:szCs w:val="21"/>
              </w:rPr>
            </w:pPr>
            <w:r>
              <w:rPr>
                <w:color w:val="000000"/>
                <w:szCs w:val="21"/>
              </w:rPr>
              <w:t>评审内容</w:t>
            </w:r>
          </w:p>
        </w:tc>
        <w:tc>
          <w:tcPr>
            <w:tcW w:w="4195" w:type="dxa"/>
            <w:vAlign w:val="center"/>
          </w:tcPr>
          <w:p>
            <w:pPr>
              <w:snapToGrid w:val="0"/>
              <w:spacing w:line="360" w:lineRule="auto"/>
              <w:jc w:val="center"/>
              <w:rPr>
                <w:szCs w:val="21"/>
              </w:rPr>
            </w:pPr>
            <w:r>
              <w:rPr>
                <w:color w:val="00000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1745" w:type="dxa"/>
            <w:vAlign w:val="center"/>
          </w:tcPr>
          <w:p>
            <w:pPr>
              <w:pStyle w:val="12"/>
              <w:ind w:firstLine="0" w:firstLineChars="0"/>
              <w:jc w:val="center"/>
              <w:rPr>
                <w:rFonts w:hint="default" w:ascii="Times New Roman" w:hAnsi="Times New Roman"/>
                <w:sz w:val="21"/>
                <w:szCs w:val="21"/>
              </w:rPr>
            </w:pPr>
            <w:r>
              <w:rPr>
                <w:rFonts w:hint="default" w:ascii="Times New Roman" w:hAnsi="Times New Roman" w:eastAsia="宋体"/>
                <w:color w:val="000000"/>
                <w:sz w:val="24"/>
                <w:szCs w:val="24"/>
                <w:lang w:val="en-US"/>
              </w:rPr>
              <w:t>15分</w:t>
            </w:r>
          </w:p>
        </w:tc>
        <w:tc>
          <w:tcPr>
            <w:tcW w:w="2700" w:type="dxa"/>
            <w:vAlign w:val="center"/>
          </w:tcPr>
          <w:p>
            <w:pPr>
              <w:tabs>
                <w:tab w:val="left" w:pos="720"/>
              </w:tabs>
              <w:spacing w:line="360" w:lineRule="auto"/>
              <w:rPr>
                <w:color w:val="000000"/>
                <w:szCs w:val="21"/>
              </w:rPr>
            </w:pPr>
            <w:r>
              <w:rPr>
                <w:color w:val="000000"/>
                <w:szCs w:val="21"/>
              </w:rPr>
              <w:t>满足采购要求，评选小组成员对有效供应商的详细报价进行复核，看其是否有计算错误或供货范围上的错误，修正错误的原则参见第4点。由此得出各有效供应商的比选价。</w:t>
            </w:r>
          </w:p>
        </w:tc>
        <w:tc>
          <w:tcPr>
            <w:tcW w:w="4195" w:type="dxa"/>
            <w:vAlign w:val="center"/>
          </w:tcPr>
          <w:p>
            <w:pPr>
              <w:snapToGrid w:val="0"/>
              <w:spacing w:line="360" w:lineRule="auto"/>
              <w:jc w:val="left"/>
              <w:rPr>
                <w:color w:val="000000"/>
                <w:szCs w:val="21"/>
              </w:rPr>
            </w:pPr>
            <w:r>
              <w:rPr>
                <w:color w:val="000000"/>
                <w:szCs w:val="21"/>
              </w:rPr>
              <w:t>价格分统一采用低价优先法计算，各有效供应商的比选价（指比选报价经修正、折扣后的价格）中，取最低价为比选基准价，其价格分为满分。其他比选人的价格分统一按照下列公式计算：</w:t>
            </w:r>
          </w:p>
          <w:p>
            <w:pPr>
              <w:snapToGrid w:val="0"/>
              <w:spacing w:line="360" w:lineRule="auto"/>
              <w:jc w:val="left"/>
              <w:rPr>
                <w:color w:val="000000"/>
                <w:szCs w:val="21"/>
              </w:rPr>
            </w:pPr>
            <w:r>
              <w:rPr>
                <w:color w:val="000000"/>
                <w:szCs w:val="21"/>
              </w:rPr>
              <w:t>价格评分=(比选基准价/最后比选报价)×价格分值</w:t>
            </w:r>
          </w:p>
        </w:tc>
      </w:tr>
    </w:tbl>
    <w:p>
      <w:pPr>
        <w:numPr>
          <w:ilvl w:val="0"/>
          <w:numId w:val="3"/>
        </w:numPr>
        <w:spacing w:before="156" w:beforeLines="50" w:after="156" w:afterLines="50" w:line="30" w:lineRule="atLeast"/>
        <w:ind w:firstLine="641" w:firstLineChars="304"/>
        <w:rPr>
          <w:b/>
          <w:bCs/>
        </w:rPr>
      </w:pPr>
      <w:r>
        <w:rPr>
          <w:b/>
          <w:bCs/>
        </w:rPr>
        <w:t>比选原则。</w:t>
      </w:r>
    </w:p>
    <w:p>
      <w:pPr>
        <w:spacing w:before="156" w:beforeLines="50" w:after="156" w:afterLines="50" w:line="30" w:lineRule="atLeast"/>
        <w:ind w:firstLine="638" w:firstLineChars="304"/>
      </w:pPr>
      <w:r>
        <w:t>1）比选活动遵循公平、公正、科学和择优的原则，以采购文件和比选人响应文件为比选的基本依据，并按照采购文件规定的比选方法和比选标准进行比选。</w:t>
      </w:r>
    </w:p>
    <w:p>
      <w:pPr>
        <w:spacing w:before="156" w:beforeLines="50" w:after="156" w:afterLines="50" w:line="30" w:lineRule="atLeast"/>
        <w:ind w:firstLine="638" w:firstLineChars="304"/>
      </w:pPr>
      <w:r>
        <w:t>2）具体比选事项由</w:t>
      </w:r>
      <w:r>
        <w:rPr>
          <w:rFonts w:hint="eastAsia"/>
        </w:rPr>
        <w:t>评</w:t>
      </w:r>
      <w:r>
        <w:t>选小组负责，并按比选文件的规定办法进行比选。</w:t>
      </w:r>
    </w:p>
    <w:p>
      <w:pPr>
        <w:spacing w:before="156" w:beforeLines="50" w:after="156" w:afterLines="50" w:line="30" w:lineRule="atLeast"/>
        <w:ind w:firstLine="638" w:firstLineChars="304"/>
      </w:pPr>
      <w:r>
        <w:t>3）合格比选人不足有效比选申请人数量的，不得比选。</w:t>
      </w:r>
    </w:p>
    <w:p>
      <w:pPr>
        <w:spacing w:before="156" w:beforeLines="50" w:after="156" w:afterLines="50" w:line="30" w:lineRule="atLeast"/>
        <w:ind w:firstLine="641" w:firstLineChars="304"/>
        <w:rPr>
          <w:b/>
          <w:bCs/>
        </w:rPr>
      </w:pPr>
      <w:r>
        <w:rPr>
          <w:b/>
          <w:bCs/>
        </w:rPr>
        <w:t>3.不同的比选申请人之间有下列情形之一的，视为供应商串通响应，其响应无效</w:t>
      </w:r>
    </w:p>
    <w:p>
      <w:pPr>
        <w:spacing w:before="156" w:beforeLines="50" w:after="156" w:afterLines="50" w:line="30" w:lineRule="atLeast"/>
        <w:ind w:firstLine="638" w:firstLineChars="304"/>
      </w:pPr>
      <w:r>
        <w:t>1）不同供应商的响应文件由同一单位或者个人编制；</w:t>
      </w:r>
    </w:p>
    <w:p>
      <w:pPr>
        <w:spacing w:before="156" w:beforeLines="50" w:after="156" w:afterLines="50" w:line="30" w:lineRule="atLeast"/>
        <w:ind w:firstLine="638" w:firstLineChars="304"/>
      </w:pPr>
      <w:r>
        <w:t>2）不同供应商委托同一单位或者个人办理响应事宜；</w:t>
      </w:r>
    </w:p>
    <w:p>
      <w:pPr>
        <w:spacing w:before="156" w:beforeLines="50" w:after="156" w:afterLines="50" w:line="30" w:lineRule="atLeast"/>
        <w:ind w:firstLine="638" w:firstLineChars="304"/>
      </w:pPr>
      <w:r>
        <w:t>3）不同供应商的响应文件载明的项目管理成员或者联系人员为同一人；</w:t>
      </w:r>
    </w:p>
    <w:p>
      <w:pPr>
        <w:spacing w:before="156" w:beforeLines="50" w:after="156" w:afterLines="50" w:line="30" w:lineRule="atLeast"/>
        <w:ind w:firstLine="638" w:firstLineChars="304"/>
      </w:pPr>
      <w:r>
        <w:t>4）不同供应商的响应文件异常一致或者响应报价呈规律性差异；</w:t>
      </w:r>
    </w:p>
    <w:p>
      <w:pPr>
        <w:spacing w:before="156" w:beforeLines="50" w:after="156" w:afterLines="50" w:line="30" w:lineRule="atLeast"/>
        <w:ind w:firstLine="638" w:firstLineChars="304"/>
      </w:pPr>
      <w:r>
        <w:t>5）不同供应商的响应文件相互混装；</w:t>
      </w:r>
    </w:p>
    <w:p>
      <w:pPr>
        <w:spacing w:before="156" w:beforeLines="50" w:after="156" w:afterLines="50" w:line="30" w:lineRule="atLeast"/>
        <w:ind w:firstLine="638" w:firstLineChars="304"/>
      </w:pPr>
      <w:r>
        <w:t xml:space="preserve"> 说明：在比选过程中发现供应商有上述情形的，</w:t>
      </w:r>
      <w:r>
        <w:rPr>
          <w:rFonts w:hint="eastAsia"/>
        </w:rPr>
        <w:t>评</w:t>
      </w:r>
      <w:r>
        <w:t>选小组应当认定其响应无效。同时，项目评审时被认定为串通响应的供应商不得参加该合同项下的采购活动。</w:t>
      </w:r>
    </w:p>
    <w:p>
      <w:pPr>
        <w:spacing w:before="156" w:beforeLines="50" w:after="156" w:afterLines="50" w:line="30" w:lineRule="atLeast"/>
        <w:ind w:firstLine="641" w:firstLineChars="304"/>
        <w:rPr>
          <w:b/>
          <w:bCs/>
        </w:rPr>
      </w:pPr>
      <w:r>
        <w:rPr>
          <w:b/>
          <w:bCs/>
        </w:rPr>
        <w:t>4.价格修正：</w:t>
      </w:r>
    </w:p>
    <w:p>
      <w:pPr>
        <w:spacing w:before="156" w:beforeLines="50" w:after="156" w:afterLines="50" w:line="30" w:lineRule="atLeast"/>
        <w:ind w:firstLine="638" w:firstLineChars="304"/>
      </w:pPr>
      <w:r>
        <w:t>对报价的计算错误按以下原则修正：</w:t>
      </w:r>
    </w:p>
    <w:p>
      <w:pPr>
        <w:spacing w:before="156" w:beforeLines="50" w:after="156" w:afterLines="50" w:line="30" w:lineRule="atLeast"/>
        <w:ind w:firstLine="638" w:firstLineChars="304"/>
      </w:pPr>
      <w:r>
        <w:t>（1）大写金额和小写金额不一致的，以大写金额为准；</w:t>
      </w:r>
    </w:p>
    <w:p>
      <w:pPr>
        <w:spacing w:before="156" w:beforeLines="50" w:after="156" w:afterLines="50" w:line="30" w:lineRule="atLeast"/>
        <w:ind w:firstLine="638" w:firstLineChars="304"/>
      </w:pPr>
      <w:r>
        <w:t>（2）单价金额小数点或者百分比有明显错位的，以总价为准，并修改单价。</w:t>
      </w:r>
    </w:p>
    <w:p>
      <w:pPr>
        <w:spacing w:before="156" w:beforeLines="50" w:after="156" w:afterLines="50" w:line="30" w:lineRule="atLeast"/>
        <w:ind w:firstLine="638" w:firstLineChars="304"/>
      </w:pPr>
      <w:r>
        <w:t>（3）总价金额与按单价汇总金额不一致的，以单价金额计算结果为准。但是单价金额计算结果超过预算价的，对其按无效比选处理。</w:t>
      </w:r>
    </w:p>
    <w:p>
      <w:pPr>
        <w:spacing w:before="156" w:beforeLines="50" w:after="156" w:afterLines="50" w:line="30" w:lineRule="atLeast"/>
        <w:ind w:firstLine="638" w:firstLineChars="304"/>
      </w:pPr>
      <w:r>
        <w:t>注：同时出现两种以上不一致的，按照前款规定的顺序进行价格澄清。澄清后的价格加盖公章确认后产生约束力，但不得超出比选文件的范围或者改变比选文件的实质性内容，比选申请人不确认的，其比选无效。</w:t>
      </w:r>
    </w:p>
    <w:p>
      <w:pPr>
        <w:spacing w:before="156" w:beforeLines="50" w:after="156" w:afterLines="50" w:line="30" w:lineRule="atLeast"/>
        <w:ind w:firstLine="422" w:firstLineChars="200"/>
      </w:pPr>
      <w:r>
        <w:rPr>
          <w:b/>
          <w:bCs/>
        </w:rPr>
        <w:t>（五）确定中选候选人。</w:t>
      </w:r>
    </w:p>
    <w:p>
      <w:pPr>
        <w:spacing w:before="156" w:beforeLines="50" w:after="156" w:afterLines="50" w:line="30" w:lineRule="atLeast"/>
        <w:ind w:firstLine="638" w:firstLineChars="304"/>
      </w:pPr>
      <w:r>
        <w:rPr>
          <w:szCs w:val="24"/>
        </w:rPr>
        <w:t>综合评分法：</w:t>
      </w:r>
    </w:p>
    <w:p>
      <w:pPr>
        <w:spacing w:before="156" w:beforeLines="50" w:after="156" w:afterLines="50" w:line="30" w:lineRule="atLeast"/>
        <w:ind w:firstLine="638" w:firstLineChars="304"/>
        <w:rPr>
          <w:szCs w:val="24"/>
        </w:rPr>
      </w:pPr>
      <w:r>
        <w:rPr>
          <w:szCs w:val="24"/>
        </w:rPr>
        <w:t>由评选小组对各比选单位进行比选，原则上以综合评分最高为中选人。</w:t>
      </w:r>
    </w:p>
    <w:p>
      <w:pPr>
        <w:spacing w:before="156" w:beforeLines="50" w:after="156" w:afterLines="50" w:line="30" w:lineRule="atLeast"/>
        <w:ind w:firstLine="422" w:firstLineChars="200"/>
      </w:pPr>
      <w:r>
        <w:rPr>
          <w:b/>
          <w:bCs/>
          <w:color w:val="000000"/>
        </w:rPr>
        <w:t>（六）比选结果公示。</w:t>
      </w:r>
      <w:r>
        <w:t>比选结果经院行政办公会确认后3个工作日内，将比选结果在院公示栏或公众网对外进行公示，公示时间为1个工作日，公示结束后向中选人发出中选通知书。</w:t>
      </w:r>
    </w:p>
    <w:p>
      <w:pPr>
        <w:pStyle w:val="21"/>
        <w:shd w:val="clear" w:color="auto" w:fill="FFFFFF"/>
        <w:jc w:val="both"/>
        <w:rPr>
          <w:rStyle w:val="16"/>
          <w:rFonts w:ascii="Times New Roman" w:hAnsi="Times New Roman" w:cs="Times New Roman"/>
          <w:sz w:val="24"/>
          <w:lang w:val="en"/>
        </w:rPr>
      </w:pPr>
      <w:r>
        <w:rPr>
          <w:rStyle w:val="16"/>
          <w:rFonts w:ascii="Times New Roman" w:hAnsi="Times New Roman" w:cs="Times New Roman"/>
          <w:sz w:val="24"/>
          <w:lang w:val="en"/>
        </w:rPr>
        <w:t>五、响应文件格式</w:t>
      </w:r>
      <w:r>
        <w:rPr>
          <w:rFonts w:ascii="Times New Roman" w:hAnsi="Times New Roman" w:cs="Times New Roman"/>
          <w:sz w:val="24"/>
          <w:lang w:val="en"/>
        </w:rPr>
        <w:t xml:space="preserve"> </w:t>
      </w:r>
    </w:p>
    <w:p>
      <w:pPr>
        <w:pStyle w:val="21"/>
        <w:shd w:val="clear" w:color="auto" w:fill="FFFFFF"/>
        <w:spacing w:after="300" w:afterAutospacing="0"/>
        <w:rPr>
          <w:rFonts w:ascii="Times New Roman" w:hAnsi="Times New Roman" w:cs="Times New Roman"/>
          <w:sz w:val="24"/>
          <w:lang w:val="en"/>
        </w:rPr>
      </w:pPr>
      <w:r>
        <w:rPr>
          <w:rStyle w:val="16"/>
          <w:rFonts w:ascii="Times New Roman" w:hAnsi="Times New Roman" w:cs="Times New Roman"/>
          <w:sz w:val="24"/>
          <w:lang w:val="en"/>
        </w:rPr>
        <w:t>响应文件格式目录</w:t>
      </w:r>
      <w:r>
        <w:rPr>
          <w:rFonts w:ascii="Times New Roman" w:hAnsi="Times New Roman" w:cs="Times New Roman"/>
          <w:sz w:val="24"/>
          <w:lang w:val="en"/>
        </w:rPr>
        <w:t xml:space="preserve"> </w:t>
      </w:r>
    </w:p>
    <w:p>
      <w:pPr>
        <w:pStyle w:val="11"/>
        <w:shd w:val="clear" w:color="auto" w:fill="FFFFFF"/>
        <w:ind w:firstLine="480"/>
        <w:rPr>
          <w:lang w:val="en"/>
        </w:rPr>
      </w:pPr>
      <w:r>
        <w:rPr>
          <w:lang w:val="en"/>
        </w:rPr>
        <w:t>响应文件包括但不限于以下组成内容，请按顺序制作，本章有提供格式文件的请按格式要求提交（完成</w:t>
      </w:r>
      <w:r>
        <w:t>比选</w:t>
      </w:r>
      <w:r>
        <w:rPr>
          <w:lang w:val="en"/>
        </w:rPr>
        <w:t xml:space="preserve">文件的制作后，应加盖公章）。 </w:t>
      </w:r>
    </w:p>
    <w:tbl>
      <w:tblPr>
        <w:tblStyle w:val="13"/>
        <w:tblW w:w="944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20"/>
        <w:gridCol w:w="6421"/>
        <w:gridCol w:w="17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rPr>
                <w:b/>
                <w:bCs/>
              </w:rPr>
            </w:pPr>
            <w:r>
              <w:rPr>
                <w:b/>
                <w:bCs/>
              </w:rPr>
              <w:t>序号</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jc w:val="center"/>
              <w:rPr>
                <w:b/>
                <w:bCs/>
              </w:rPr>
            </w:pPr>
            <w:r>
              <w:rPr>
                <w:b/>
                <w:bCs/>
              </w:rPr>
              <w:t>内容</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rPr>
                <w:b/>
                <w:bCs/>
              </w:rPr>
            </w:pPr>
            <w:r>
              <w:rPr>
                <w:b/>
                <w:bCs/>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442" w:type="dxa"/>
            <w:gridSpan w:val="3"/>
            <w:tcBorders>
              <w:top w:val="outset" w:color="auto" w:sz="6" w:space="0"/>
              <w:left w:val="outset" w:color="auto" w:sz="6" w:space="0"/>
              <w:bottom w:val="outset" w:color="auto" w:sz="6" w:space="0"/>
              <w:right w:val="outset" w:color="auto" w:sz="6" w:space="0"/>
            </w:tcBorders>
            <w:vAlign w:val="center"/>
          </w:tcPr>
          <w:p>
            <w:pPr>
              <w:pStyle w:val="11"/>
              <w:wordWrap w:val="0"/>
              <w:jc w:val="center"/>
            </w:pPr>
            <w:r>
              <w:t>商务文件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1</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★响应承诺函</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2</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★比选申请人廉洁承诺书</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3</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比选申请人资格声明函》的附件（提供以下相关证照之一的扫描件）：1.企业法人提供企业法人营业执照；2.事业法人提供事业法人登记证；3.其他组织提供营业执照或执业许可证；4.自然人提供居民身份证等。</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4</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★属于分支机构报价的，还须提供分支机构的营业执照（执业许可证）扫描件及总公司（总所）出具给分支机构的授权书，授权书须加盖总公司（总所）公章</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5</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法定代表人证明书</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6</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法定代表人授权书</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7</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★实质性响应条款一览表（如需求中有★条款则需提供）</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8</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★报价表</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9</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商务评分有关资料</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10</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比选申请人认为有必要说明的其他商务文件资料</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442" w:type="dxa"/>
            <w:gridSpan w:val="3"/>
            <w:tcBorders>
              <w:top w:val="outset" w:color="auto" w:sz="6" w:space="0"/>
              <w:left w:val="outset" w:color="auto" w:sz="6" w:space="0"/>
              <w:bottom w:val="outset" w:color="auto" w:sz="6" w:space="0"/>
              <w:right w:val="outset" w:color="auto" w:sz="6" w:space="0"/>
            </w:tcBorders>
            <w:vAlign w:val="center"/>
          </w:tcPr>
          <w:p>
            <w:pPr>
              <w:pStyle w:val="11"/>
              <w:wordWrap w:val="0"/>
              <w:jc w:val="center"/>
            </w:pPr>
            <w:r>
              <w:t>技术文件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1</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技术/服务方案一般性条款响应差异表</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2</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技术评分有关资料</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r>
              <w:t>3</w:t>
            </w:r>
          </w:p>
        </w:tc>
        <w:tc>
          <w:tcPr>
            <w:tcW w:w="6421" w:type="dxa"/>
            <w:tcBorders>
              <w:top w:val="outset" w:color="auto" w:sz="6" w:space="0"/>
              <w:left w:val="outset" w:color="auto" w:sz="6" w:space="0"/>
              <w:bottom w:val="outset" w:color="auto" w:sz="6" w:space="0"/>
              <w:right w:val="outset" w:color="auto" w:sz="6" w:space="0"/>
            </w:tcBorders>
            <w:vAlign w:val="center"/>
          </w:tcPr>
          <w:p>
            <w:pPr>
              <w:pStyle w:val="11"/>
              <w:wordWrap w:val="0"/>
            </w:pPr>
            <w:r>
              <w:t>比选申请人认为有必要说明的其他服务文件资料</w:t>
            </w:r>
          </w:p>
        </w:tc>
        <w:tc>
          <w:tcPr>
            <w:tcW w:w="1701" w:type="dxa"/>
            <w:tcBorders>
              <w:top w:val="outset" w:color="auto" w:sz="6" w:space="0"/>
              <w:left w:val="outset" w:color="auto" w:sz="6" w:space="0"/>
              <w:bottom w:val="outset" w:color="auto" w:sz="6" w:space="0"/>
              <w:right w:val="outset" w:color="auto" w:sz="6" w:space="0"/>
            </w:tcBorders>
            <w:vAlign w:val="center"/>
          </w:tcPr>
          <w:p>
            <w:pPr>
              <w:pStyle w:val="11"/>
              <w:wordWrap w:val="0"/>
              <w:jc w:val="cente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9442" w:type="dxa"/>
            <w:gridSpan w:val="3"/>
            <w:tcBorders>
              <w:top w:val="outset" w:color="auto" w:sz="6" w:space="0"/>
              <w:left w:val="outset" w:color="auto" w:sz="6" w:space="0"/>
              <w:bottom w:val="outset" w:color="auto" w:sz="6" w:space="0"/>
              <w:right w:val="outset" w:color="auto" w:sz="6" w:space="0"/>
            </w:tcBorders>
            <w:vAlign w:val="center"/>
          </w:tcPr>
          <w:p>
            <w:pPr>
              <w:pStyle w:val="11"/>
              <w:wordWrap w:val="0"/>
              <w:jc w:val="center"/>
            </w:pPr>
            <w:r>
              <w:t>其他文件</w:t>
            </w:r>
          </w:p>
        </w:tc>
      </w:tr>
    </w:tbl>
    <w:p>
      <w:pPr>
        <w:snapToGrid w:val="0"/>
        <w:spacing w:before="156" w:beforeLines="50"/>
        <w:jc w:val="left"/>
        <w:rPr>
          <w:color w:val="000000"/>
        </w:rPr>
      </w:pPr>
    </w:p>
    <w:p>
      <w:r>
        <w:rPr>
          <w:rStyle w:val="16"/>
          <w:lang w:val="en"/>
        </w:rPr>
        <w:t>特别提醒：</w:t>
      </w:r>
      <w:r>
        <w:rPr>
          <w:lang w:val="en"/>
        </w:rPr>
        <w:t>请比选申请人严格按照表格内容及要求制作响应文件，所有证书类文件提供复印件且必须在有效期内，表中带★的材料将作为供应商资格和符合性审查的重要内容之一。</w:t>
      </w:r>
    </w:p>
    <w:p/>
    <w:p>
      <w:pPr>
        <w:snapToGrid w:val="0"/>
        <w:spacing w:before="156" w:beforeLines="50"/>
        <w:jc w:val="left"/>
        <w:rPr>
          <w:color w:val="000000"/>
        </w:rPr>
      </w:pPr>
    </w:p>
    <w:p>
      <w:pPr>
        <w:snapToGrid w:val="0"/>
        <w:spacing w:before="156" w:beforeLines="50"/>
        <w:jc w:val="left"/>
        <w:rPr>
          <w:color w:val="000000"/>
        </w:rPr>
      </w:pPr>
    </w:p>
    <w:p>
      <w:pPr>
        <w:snapToGrid w:val="0"/>
        <w:spacing w:before="156" w:beforeLines="50"/>
        <w:jc w:val="left"/>
        <w:rPr>
          <w:color w:val="000000"/>
        </w:rPr>
      </w:pPr>
    </w:p>
    <w:p>
      <w:pPr>
        <w:pStyle w:val="6"/>
        <w:rPr>
          <w:rFonts w:hint="default" w:ascii="Times New Roman" w:hAnsi="Times New Roman"/>
          <w:color w:val="000000"/>
        </w:rPr>
      </w:pPr>
    </w:p>
    <w:p>
      <w:pPr>
        <w:rPr>
          <w:color w:val="000000"/>
        </w:rPr>
      </w:pPr>
    </w:p>
    <w:p>
      <w:pPr>
        <w:pStyle w:val="6"/>
        <w:rPr>
          <w:rFonts w:hint="default" w:ascii="Times New Roman" w:hAnsi="Times New Roman"/>
          <w:lang w:val="en-US"/>
        </w:rPr>
      </w:pPr>
    </w:p>
    <w:p/>
    <w:p>
      <w:pPr>
        <w:pStyle w:val="6"/>
        <w:rPr>
          <w:rFonts w:hint="default" w:ascii="Times New Roman" w:hAnsi="Times New Roman"/>
          <w:lang w:val="en-US"/>
        </w:rPr>
      </w:pPr>
    </w:p>
    <w:p/>
    <w:p>
      <w:pPr>
        <w:pStyle w:val="6"/>
        <w:rPr>
          <w:rFonts w:hint="default" w:ascii="Times New Roman" w:hAnsi="Times New Roman"/>
          <w:lang w:val="en-US"/>
        </w:rPr>
      </w:pPr>
    </w:p>
    <w:p/>
    <w:p>
      <w:pPr>
        <w:pStyle w:val="6"/>
        <w:rPr>
          <w:rFonts w:hint="default" w:ascii="Times New Roman" w:hAnsi="Times New Roman"/>
          <w:lang w:val="en-US"/>
        </w:rPr>
      </w:pPr>
    </w:p>
    <w:p>
      <w:pPr>
        <w:rPr>
          <w:color w:val="000000"/>
        </w:rPr>
      </w:pPr>
      <w:r>
        <w:rPr>
          <w:color w:val="000000"/>
        </w:rPr>
        <w:br w:type="page"/>
      </w:r>
    </w:p>
    <w:p>
      <w:pPr>
        <w:snapToGrid w:val="0"/>
        <w:spacing w:before="156" w:beforeLines="50"/>
        <w:jc w:val="left"/>
        <w:rPr>
          <w:color w:val="000000"/>
        </w:rPr>
      </w:pPr>
      <w:r>
        <w:rPr>
          <w:color w:val="000000"/>
        </w:rPr>
        <w:t>附件1：</w:t>
      </w:r>
    </w:p>
    <w:p>
      <w:pPr>
        <w:jc w:val="center"/>
      </w:pPr>
      <w:r>
        <w:rPr>
          <w:rFonts w:eastAsia="方正小标宋简体"/>
          <w:b/>
          <w:bCs/>
          <w:color w:val="000000"/>
          <w:kern w:val="0"/>
          <w:sz w:val="44"/>
          <w:szCs w:val="44"/>
        </w:rPr>
        <w:t>响应承诺函</w:t>
      </w:r>
    </w:p>
    <w:p>
      <w:pPr>
        <w:snapToGrid w:val="0"/>
        <w:spacing w:before="156" w:beforeLines="50"/>
      </w:pPr>
      <w:r>
        <w:t>致：广州市老人院</w:t>
      </w:r>
    </w:p>
    <w:p>
      <w:pPr>
        <w:snapToGrid w:val="0"/>
        <w:spacing w:before="156" w:beforeLines="50"/>
        <w:ind w:firstLine="638" w:firstLineChars="304"/>
      </w:pPr>
      <w:r>
        <w:t>我方收到贵方关于“</w:t>
      </w:r>
      <w:r>
        <w:rPr>
          <w:rFonts w:eastAsia="仿宋_GB2312"/>
          <w:color w:val="000000"/>
          <w:sz w:val="32"/>
          <w:szCs w:val="32"/>
          <w:u w:val="single"/>
        </w:rPr>
        <w:t xml:space="preserve">      </w:t>
      </w:r>
      <w:r>
        <w:rPr>
          <w:color w:val="000000"/>
        </w:rPr>
        <w:t>”</w:t>
      </w:r>
      <w:r>
        <w:t>采购项目项目（项目编号：     ）的比选文件，完全理解比选文件的所有内容。决定参与本比选项目，据此我方承诺如下：</w:t>
      </w:r>
    </w:p>
    <w:p>
      <w:pPr>
        <w:snapToGrid w:val="0"/>
        <w:spacing w:before="156" w:beforeLines="50"/>
        <w:ind w:firstLine="638" w:firstLineChars="304"/>
      </w:pPr>
      <w:r>
        <w:t>我方确认收到贵方提供的</w:t>
      </w:r>
      <w:r>
        <w:rPr>
          <w:rFonts w:eastAsia="仿宋_GB2312"/>
          <w:color w:val="000000"/>
          <w:sz w:val="32"/>
          <w:szCs w:val="32"/>
          <w:u w:val="single"/>
        </w:rPr>
        <w:t xml:space="preserve">      </w:t>
      </w:r>
      <w:r>
        <w:t>采购项目项目的比选文件的全部内容。</w:t>
      </w:r>
    </w:p>
    <w:p>
      <w:pPr>
        <w:pStyle w:val="3"/>
        <w:tabs>
          <w:tab w:val="clear" w:pos="851"/>
        </w:tabs>
        <w:spacing w:line="336" w:lineRule="auto"/>
        <w:ind w:firstLine="420" w:firstLineChars="200"/>
        <w:rPr>
          <w:rFonts w:ascii="Times New Roman" w:hAnsi="Times New Roman"/>
        </w:rPr>
      </w:pPr>
      <w:r>
        <w:rPr>
          <w:rFonts w:ascii="Times New Roman" w:hAnsi="Times New Roman"/>
        </w:rPr>
        <w:t>一、我方的比选文件在比选截止日后90天（日历天）内保持有效，如中选，有效期将延至本项目《比选合同》执行期满日为止。</w:t>
      </w:r>
    </w:p>
    <w:p>
      <w:pPr>
        <w:pStyle w:val="3"/>
        <w:tabs>
          <w:tab w:val="clear" w:pos="851"/>
        </w:tabs>
        <w:spacing w:line="336" w:lineRule="auto"/>
        <w:ind w:firstLine="420" w:firstLineChars="200"/>
        <w:rPr>
          <w:rFonts w:ascii="Times New Roman" w:hAnsi="Times New Roman"/>
        </w:rPr>
      </w:pPr>
      <w:r>
        <w:rPr>
          <w:rFonts w:ascii="Times New Roman" w:hAnsi="Times New Roman"/>
        </w:rPr>
        <w:t>二、我方在参与比选前已仔细研究了比选文件和所有相关资料，我方完全明白并认为此比选文件没有倾向性，也没有存在排斥潜在供应商的内容，我方同意比选文件的相关条款，放弃对比选文件提出误解和异议的一切权利。</w:t>
      </w:r>
    </w:p>
    <w:p>
      <w:pPr>
        <w:pStyle w:val="3"/>
        <w:tabs>
          <w:tab w:val="clear" w:pos="851"/>
        </w:tabs>
        <w:spacing w:line="336" w:lineRule="auto"/>
        <w:ind w:firstLine="420" w:firstLineChars="200"/>
        <w:rPr>
          <w:rFonts w:ascii="Times New Roman" w:hAnsi="Times New Roman"/>
        </w:rPr>
      </w:pPr>
      <w:r>
        <w:rPr>
          <w:rFonts w:ascii="Times New Roman" w:hAnsi="Times New Roman"/>
        </w:rPr>
        <w:t>三、我方声明响应文件及所提供的一切资料均真实无误及有效。由于我方提供资料不实而造成的责任和后果由我方承担。我方同意按照贵方提出的要求，提供与响应有关的任何其它数据或信息。</w:t>
      </w:r>
    </w:p>
    <w:p>
      <w:pPr>
        <w:pStyle w:val="3"/>
        <w:tabs>
          <w:tab w:val="clear" w:pos="851"/>
        </w:tabs>
        <w:spacing w:line="336" w:lineRule="auto"/>
        <w:ind w:firstLine="420" w:firstLineChars="200"/>
        <w:rPr>
          <w:rFonts w:ascii="Times New Roman" w:hAnsi="Times New Roman"/>
        </w:rPr>
      </w:pPr>
      <w:r>
        <w:rPr>
          <w:rFonts w:ascii="Times New Roman" w:hAnsi="Times New Roman"/>
        </w:rPr>
        <w:t>四、我方理解贵方不一定接受最低报价的响应。</w:t>
      </w:r>
    </w:p>
    <w:p>
      <w:pPr>
        <w:pStyle w:val="3"/>
        <w:spacing w:line="336" w:lineRule="auto"/>
        <w:ind w:firstLine="420" w:firstLineChars="200"/>
        <w:rPr>
          <w:rFonts w:ascii="Times New Roman" w:hAnsi="Times New Roman"/>
          <w:lang w:val="af-ZA"/>
        </w:rPr>
      </w:pPr>
      <w:r>
        <w:rPr>
          <w:rFonts w:ascii="Times New Roman" w:hAnsi="Times New Roman"/>
        </w:rPr>
        <w:t>五、我方保证，采购人在中华人民共和国境内使用我方响应货物、资料、技术、服务或其任何一部分时，享有不受限制的无偿使用权，如有第三方向采购人提出侵犯其专利权、商标权或其它知识产权的主张，该责任由我方承担。我方的响应报价已包含所有应向所有权人支付的专利权、商标权或其它知识产权的一切相关费用</w:t>
      </w:r>
      <w:r>
        <w:rPr>
          <w:rFonts w:ascii="Times New Roman" w:hAnsi="Times New Roman"/>
          <w:lang w:val="af-ZA"/>
        </w:rPr>
        <w:t>。</w:t>
      </w:r>
    </w:p>
    <w:p>
      <w:pPr>
        <w:pStyle w:val="3"/>
        <w:spacing w:line="336" w:lineRule="auto"/>
        <w:ind w:firstLine="420" w:firstLineChars="200"/>
        <w:rPr>
          <w:rFonts w:ascii="Times New Roman" w:hAnsi="Times New Roman"/>
        </w:rPr>
      </w:pPr>
      <w:r>
        <w:rPr>
          <w:rFonts w:ascii="Times New Roman" w:hAnsi="Times New Roman"/>
        </w:rPr>
        <w:t>六、我方与其他比选人不存在法定代表人或单位负责人为同一人或者存在直接控股、管理关系。</w:t>
      </w:r>
    </w:p>
    <w:p>
      <w:pPr>
        <w:snapToGrid w:val="0"/>
        <w:spacing w:before="156" w:beforeLines="50"/>
        <w:ind w:firstLine="420" w:firstLineChars="200"/>
      </w:pPr>
      <w:r>
        <w:t>七、我方承诺未为本项目提供整体设计、规范编制或者项目管理、监理、检测等服务。</w:t>
      </w:r>
    </w:p>
    <w:p>
      <w:pPr>
        <w:spacing w:before="156" w:beforeLines="50"/>
        <w:ind w:firstLine="420" w:firstLineChars="200"/>
      </w:pPr>
      <w:r>
        <w:t>八、以上内容如有虚假或与事实不符的，比选小组可将我方做无效比选处理，我方愿意承担相应的法律责任。</w:t>
      </w:r>
    </w:p>
    <w:p>
      <w:pPr>
        <w:spacing w:before="156" w:beforeLines="50"/>
        <w:ind w:firstLine="420" w:firstLineChars="200"/>
      </w:pPr>
      <w:r>
        <w:t>九、我方对在本函及比选文件中所作的所有承诺承担法律责任。</w:t>
      </w:r>
    </w:p>
    <w:p>
      <w:pPr>
        <w:spacing w:before="156" w:beforeLines="50"/>
        <w:ind w:firstLine="420" w:firstLineChars="200"/>
      </w:pPr>
      <w:r>
        <w:t>十、所有与本比选项目有关的函件请发往下列地址：</w:t>
      </w:r>
    </w:p>
    <w:tbl>
      <w:tblPr>
        <w:tblStyle w:val="13"/>
        <w:tblW w:w="90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835"/>
        <w:gridCol w:w="2068"/>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7" w:type="dxa"/>
          </w:tcPr>
          <w:p>
            <w:pPr>
              <w:tabs>
                <w:tab w:val="left" w:pos="0"/>
              </w:tabs>
              <w:spacing w:line="360" w:lineRule="auto"/>
              <w:ind w:right="25" w:rightChars="12"/>
              <w:rPr>
                <w:sz w:val="24"/>
                <w:szCs w:val="24"/>
              </w:rPr>
            </w:pPr>
            <w:r>
              <w:rPr>
                <w:sz w:val="24"/>
                <w:szCs w:val="24"/>
              </w:rPr>
              <w:t>地址（邮编）</w:t>
            </w:r>
          </w:p>
        </w:tc>
        <w:tc>
          <w:tcPr>
            <w:tcW w:w="4903" w:type="dxa"/>
            <w:gridSpan w:val="2"/>
          </w:tcPr>
          <w:p>
            <w:pPr>
              <w:tabs>
                <w:tab w:val="left" w:pos="0"/>
              </w:tabs>
              <w:spacing w:line="360" w:lineRule="auto"/>
              <w:ind w:right="25" w:rightChars="12"/>
              <w:rPr>
                <w:sz w:val="24"/>
                <w:szCs w:val="24"/>
              </w:rPr>
            </w:pPr>
          </w:p>
        </w:tc>
        <w:tc>
          <w:tcPr>
            <w:tcW w:w="900" w:type="dxa"/>
          </w:tcPr>
          <w:p>
            <w:pPr>
              <w:tabs>
                <w:tab w:val="left" w:pos="0"/>
              </w:tabs>
              <w:spacing w:line="360" w:lineRule="auto"/>
              <w:ind w:right="25" w:rightChars="12"/>
              <w:rPr>
                <w:sz w:val="24"/>
                <w:szCs w:val="24"/>
              </w:rPr>
            </w:pPr>
            <w:r>
              <w:rPr>
                <w:sz w:val="24"/>
                <w:szCs w:val="24"/>
              </w:rPr>
              <w:t>传真</w:t>
            </w:r>
          </w:p>
        </w:tc>
        <w:tc>
          <w:tcPr>
            <w:tcW w:w="1280" w:type="dxa"/>
          </w:tcPr>
          <w:p>
            <w:pPr>
              <w:tabs>
                <w:tab w:val="left" w:pos="0"/>
              </w:tabs>
              <w:spacing w:line="360" w:lineRule="auto"/>
              <w:ind w:right="25" w:rightChars="12"/>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37" w:type="dxa"/>
          </w:tcPr>
          <w:p>
            <w:pPr>
              <w:tabs>
                <w:tab w:val="left" w:pos="0"/>
              </w:tabs>
              <w:spacing w:line="360" w:lineRule="auto"/>
              <w:ind w:right="25" w:rightChars="12"/>
              <w:rPr>
                <w:sz w:val="24"/>
                <w:szCs w:val="24"/>
              </w:rPr>
            </w:pPr>
            <w:r>
              <w:rPr>
                <w:sz w:val="24"/>
                <w:szCs w:val="24"/>
              </w:rPr>
              <w:t>电话、手机</w:t>
            </w:r>
          </w:p>
        </w:tc>
        <w:tc>
          <w:tcPr>
            <w:tcW w:w="2835" w:type="dxa"/>
          </w:tcPr>
          <w:p>
            <w:pPr>
              <w:tabs>
                <w:tab w:val="left" w:pos="0"/>
              </w:tabs>
              <w:spacing w:line="360" w:lineRule="auto"/>
              <w:ind w:right="25" w:rightChars="12"/>
              <w:rPr>
                <w:sz w:val="24"/>
                <w:szCs w:val="24"/>
              </w:rPr>
            </w:pPr>
          </w:p>
        </w:tc>
        <w:tc>
          <w:tcPr>
            <w:tcW w:w="2068" w:type="dxa"/>
          </w:tcPr>
          <w:p>
            <w:pPr>
              <w:tabs>
                <w:tab w:val="left" w:pos="0"/>
              </w:tabs>
              <w:spacing w:line="360" w:lineRule="auto"/>
              <w:ind w:right="25" w:rightChars="12"/>
              <w:rPr>
                <w:sz w:val="24"/>
                <w:szCs w:val="24"/>
              </w:rPr>
            </w:pPr>
            <w:r>
              <w:rPr>
                <w:sz w:val="24"/>
                <w:szCs w:val="24"/>
              </w:rPr>
              <w:t>联系人（职务）</w:t>
            </w:r>
          </w:p>
        </w:tc>
        <w:tc>
          <w:tcPr>
            <w:tcW w:w="2180" w:type="dxa"/>
            <w:gridSpan w:val="2"/>
          </w:tcPr>
          <w:p>
            <w:pPr>
              <w:tabs>
                <w:tab w:val="left" w:pos="0"/>
              </w:tabs>
              <w:spacing w:line="360" w:lineRule="auto"/>
              <w:ind w:right="25" w:rightChars="12"/>
              <w:rPr>
                <w:sz w:val="24"/>
                <w:szCs w:val="24"/>
              </w:rPr>
            </w:pPr>
          </w:p>
        </w:tc>
      </w:tr>
    </w:tbl>
    <w:p>
      <w:pPr>
        <w:snapToGrid w:val="0"/>
        <w:spacing w:before="156" w:beforeLines="50"/>
        <w:ind w:firstLine="2940" w:firstLineChars="1400"/>
      </w:pPr>
      <w:r>
        <w:t xml:space="preserve">比选人法定代表人（或法定代表人授权代表）签字或盖章： </w:t>
      </w:r>
      <w:r>
        <w:tab/>
      </w:r>
    </w:p>
    <w:p>
      <w:pPr>
        <w:snapToGrid w:val="0"/>
        <w:spacing w:before="156" w:beforeLines="50"/>
        <w:ind w:firstLine="2940" w:firstLineChars="1400"/>
      </w:pPr>
      <w:r>
        <w:t xml:space="preserve">比选人名称（盖章）： </w:t>
      </w:r>
      <w:r>
        <w:tab/>
      </w:r>
    </w:p>
    <w:p>
      <w:pPr>
        <w:snapToGrid w:val="0"/>
        <w:spacing w:before="156" w:beforeLines="50"/>
        <w:ind w:firstLine="2940" w:firstLineChars="1400"/>
      </w:pPr>
      <w:r>
        <w:t>日期：   年   月   日</w:t>
      </w:r>
    </w:p>
    <w:p>
      <w:pPr>
        <w:snapToGrid w:val="0"/>
        <w:spacing w:before="156" w:beforeLines="50"/>
      </w:pPr>
    </w:p>
    <w:p>
      <w:pPr>
        <w:spacing w:line="360" w:lineRule="auto"/>
        <w:ind w:right="84" w:rightChars="40"/>
        <w:rPr>
          <w:bCs/>
          <w:sz w:val="24"/>
          <w:szCs w:val="24"/>
        </w:rPr>
      </w:pPr>
      <w:bookmarkStart w:id="1" w:name="_Toc37581429"/>
      <w:r>
        <w:rPr>
          <w:bCs/>
          <w:sz w:val="24"/>
          <w:szCs w:val="24"/>
        </w:rPr>
        <w:t>说明：本格式文件内容不得擅自删改。</w:t>
      </w:r>
      <w:bookmarkEnd w:id="1"/>
    </w:p>
    <w:p>
      <w:pPr>
        <w:snapToGrid w:val="0"/>
        <w:spacing w:before="156" w:beforeLines="50"/>
        <w:jc w:val="left"/>
      </w:pPr>
      <w:r>
        <w:t>附件2：</w:t>
      </w:r>
    </w:p>
    <w:p>
      <w:pPr>
        <w:snapToGrid w:val="0"/>
        <w:spacing w:before="156" w:beforeLines="50"/>
        <w:jc w:val="left"/>
      </w:pPr>
    </w:p>
    <w:p>
      <w:pPr>
        <w:pStyle w:val="22"/>
        <w:jc w:val="center"/>
        <w:rPr>
          <w:rFonts w:ascii="Times New Roman" w:hAnsi="Times New Roman"/>
          <w:b/>
          <w:kern w:val="0"/>
          <w:sz w:val="44"/>
          <w:szCs w:val="44"/>
        </w:rPr>
      </w:pPr>
      <w:r>
        <w:rPr>
          <w:rFonts w:ascii="Times New Roman" w:hAnsi="Times New Roman"/>
          <w:b/>
          <w:kern w:val="0"/>
          <w:sz w:val="44"/>
          <w:szCs w:val="44"/>
        </w:rPr>
        <w:t>比选申请人廉洁承诺书</w:t>
      </w:r>
    </w:p>
    <w:p>
      <w:pPr>
        <w:pStyle w:val="22"/>
        <w:rPr>
          <w:rFonts w:ascii="Times New Roman" w:hAnsi="Times New Roman" w:eastAsia="仿宋"/>
          <w:kern w:val="0"/>
          <w:sz w:val="28"/>
          <w:szCs w:val="28"/>
        </w:rPr>
      </w:pPr>
    </w:p>
    <w:p>
      <w:pPr>
        <w:spacing w:line="360" w:lineRule="auto"/>
        <w:rPr>
          <w:szCs w:val="21"/>
        </w:rPr>
      </w:pPr>
      <w:r>
        <w:rPr>
          <w:rFonts w:hint="eastAsia"/>
          <w:szCs w:val="21"/>
          <w:u w:val="single"/>
          <w:lang w:eastAsia="zh-CN"/>
        </w:rPr>
        <w:t>广州市老人院</w:t>
      </w:r>
      <w:r>
        <w:rPr>
          <w:szCs w:val="21"/>
          <w:u w:val="single"/>
        </w:rPr>
        <w:t>：</w:t>
      </w:r>
    </w:p>
    <w:p>
      <w:pPr>
        <w:spacing w:line="360" w:lineRule="auto"/>
        <w:ind w:firstLine="420" w:firstLineChars="200"/>
        <w:rPr>
          <w:szCs w:val="21"/>
        </w:rPr>
      </w:pPr>
      <w:r>
        <w:rPr>
          <w:szCs w:val="21"/>
        </w:rPr>
        <w:t>贵单位</w:t>
      </w:r>
      <w:r>
        <w:rPr>
          <w:szCs w:val="21"/>
          <w:u w:val="single"/>
        </w:rPr>
        <w:t>　　　</w:t>
      </w:r>
      <w:r>
        <w:rPr>
          <w:szCs w:val="21"/>
        </w:rPr>
        <w:t>年</w:t>
      </w:r>
      <w:r>
        <w:rPr>
          <w:szCs w:val="21"/>
          <w:u w:val="single"/>
        </w:rPr>
        <w:t>　　</w:t>
      </w:r>
      <w:r>
        <w:rPr>
          <w:szCs w:val="21"/>
        </w:rPr>
        <w:t>月</w:t>
      </w:r>
      <w:r>
        <w:rPr>
          <w:szCs w:val="21"/>
          <w:u w:val="single"/>
        </w:rPr>
        <w:t>　　</w:t>
      </w:r>
      <w:r>
        <w:rPr>
          <w:szCs w:val="21"/>
        </w:rPr>
        <w:t>日发布的</w:t>
      </w:r>
      <w:r>
        <w:rPr>
          <w:szCs w:val="21"/>
          <w:u w:val="single"/>
        </w:rPr>
        <w:t xml:space="preserve">                </w:t>
      </w:r>
      <w:r>
        <w:rPr>
          <w:szCs w:val="21"/>
        </w:rPr>
        <w:t>项目（项目编号：</w:t>
      </w:r>
      <w:r>
        <w:rPr>
          <w:szCs w:val="21"/>
          <w:u w:val="single"/>
        </w:rPr>
        <w:t xml:space="preserve">                </w:t>
      </w:r>
      <w:r>
        <w:rPr>
          <w:szCs w:val="21"/>
        </w:rPr>
        <w:t>）的比选公告，本公司（企业）愿意参加比选，并作出如下廉洁承诺：</w:t>
      </w:r>
    </w:p>
    <w:p>
      <w:pPr>
        <w:snapToGrid w:val="0"/>
        <w:spacing w:line="360" w:lineRule="auto"/>
        <w:ind w:firstLine="420" w:firstLineChars="200"/>
        <w:rPr>
          <w:szCs w:val="21"/>
        </w:rPr>
      </w:pPr>
      <w:r>
        <w:rPr>
          <w:szCs w:val="21"/>
        </w:rPr>
        <w:t>1.本公司（企业）严格遵守国家有关法律法规以及廉洁从业有关规定，积极营造公平公正的比选采购活动环境。</w:t>
      </w:r>
    </w:p>
    <w:p>
      <w:pPr>
        <w:snapToGrid w:val="0"/>
        <w:spacing w:line="360" w:lineRule="auto"/>
        <w:ind w:firstLine="420" w:firstLineChars="200"/>
        <w:rPr>
          <w:szCs w:val="21"/>
        </w:rPr>
      </w:pPr>
      <w:r>
        <w:rPr>
          <w:szCs w:val="21"/>
        </w:rPr>
        <w:t>2.加强本公司（企业）相关人员的管理和廉洁从业教育，自觉抵制不廉洁行为。在商务活动中发现存在违规违纪违法行为，将及时向监察部门或司法机关举报。</w:t>
      </w:r>
    </w:p>
    <w:p>
      <w:pPr>
        <w:snapToGrid w:val="0"/>
        <w:spacing w:line="360" w:lineRule="auto"/>
        <w:ind w:firstLine="420" w:firstLineChars="200"/>
        <w:rPr>
          <w:szCs w:val="21"/>
        </w:rPr>
      </w:pPr>
      <w:r>
        <w:rPr>
          <w:szCs w:val="21"/>
        </w:rPr>
        <w:t>3.不向采购人及其人员提供礼金、有价证券、支付凭证、贵重物品等。</w:t>
      </w:r>
    </w:p>
    <w:p>
      <w:pPr>
        <w:snapToGrid w:val="0"/>
        <w:spacing w:line="360" w:lineRule="auto"/>
        <w:ind w:firstLine="420" w:firstLineChars="200"/>
        <w:rPr>
          <w:szCs w:val="21"/>
        </w:rPr>
      </w:pPr>
      <w:r>
        <w:rPr>
          <w:szCs w:val="21"/>
        </w:rPr>
        <w:t>4.不为采购人及其人员报销应由采购人或个人支付的费用。</w:t>
      </w:r>
    </w:p>
    <w:p>
      <w:pPr>
        <w:snapToGrid w:val="0"/>
        <w:spacing w:line="360" w:lineRule="auto"/>
        <w:ind w:firstLine="420" w:firstLineChars="200"/>
        <w:rPr>
          <w:szCs w:val="21"/>
        </w:rPr>
      </w:pPr>
      <w:r>
        <w:rPr>
          <w:szCs w:val="21"/>
        </w:rPr>
        <w:t>5.不为采购人员投资入股、个人借款或买卖股票、债券等提供方便。</w:t>
      </w:r>
    </w:p>
    <w:p>
      <w:pPr>
        <w:snapToGrid w:val="0"/>
        <w:spacing w:line="360" w:lineRule="auto"/>
        <w:ind w:firstLine="420" w:firstLineChars="200"/>
        <w:rPr>
          <w:szCs w:val="21"/>
        </w:rPr>
      </w:pPr>
      <w:r>
        <w:rPr>
          <w:szCs w:val="21"/>
        </w:rPr>
        <w:t>6.不为采购人员购买或装修住房、婚丧嫁娶、配偶子女上学或工作安排以及出国（境）、旅游等提供方便。</w:t>
      </w:r>
    </w:p>
    <w:p>
      <w:pPr>
        <w:snapToGrid w:val="0"/>
        <w:spacing w:line="360" w:lineRule="auto"/>
        <w:ind w:firstLine="420" w:firstLineChars="200"/>
        <w:rPr>
          <w:szCs w:val="21"/>
        </w:rPr>
      </w:pPr>
      <w:r>
        <w:rPr>
          <w:szCs w:val="21"/>
        </w:rPr>
        <w:t>7.不为采购人员安排有可能影响公正执行公务的宴请、健身、娱乐等活动。</w:t>
      </w:r>
    </w:p>
    <w:p>
      <w:pPr>
        <w:snapToGrid w:val="0"/>
        <w:spacing w:line="360" w:lineRule="auto"/>
        <w:ind w:firstLine="420" w:firstLineChars="200"/>
        <w:rPr>
          <w:szCs w:val="21"/>
        </w:rPr>
      </w:pPr>
      <w:r>
        <w:rPr>
          <w:szCs w:val="21"/>
        </w:rPr>
        <w:t>8.不为采购人及其人员购置或提供通讯工具、交通工具和高档办公用品。</w:t>
      </w:r>
    </w:p>
    <w:p>
      <w:pPr>
        <w:snapToGrid w:val="0"/>
        <w:spacing w:line="360" w:lineRule="auto"/>
        <w:ind w:firstLine="420" w:firstLineChars="200"/>
        <w:rPr>
          <w:szCs w:val="21"/>
        </w:rPr>
      </w:pPr>
      <w:r>
        <w:rPr>
          <w:szCs w:val="21"/>
        </w:rPr>
        <w:t>9.不为采购人员的配偶、子女及其他亲属谋取不正当利益提供方便。</w:t>
      </w:r>
    </w:p>
    <w:p>
      <w:pPr>
        <w:snapToGrid w:val="0"/>
        <w:spacing w:line="360" w:lineRule="auto"/>
        <w:ind w:firstLine="420" w:firstLineChars="200"/>
        <w:rPr>
          <w:szCs w:val="21"/>
        </w:rPr>
      </w:pPr>
      <w:r>
        <w:rPr>
          <w:szCs w:val="21"/>
        </w:rPr>
        <w:t>10.不违反规定安排采购人员在本公司（企业）或本公司（企业）相关企业兼职和领取兼职工资及报酬。</w:t>
      </w:r>
    </w:p>
    <w:p>
      <w:pPr>
        <w:snapToGrid w:val="0"/>
        <w:spacing w:line="360" w:lineRule="auto"/>
        <w:ind w:firstLine="420" w:firstLineChars="200"/>
        <w:rPr>
          <w:szCs w:val="21"/>
        </w:rPr>
      </w:pPr>
      <w:r>
        <w:rPr>
          <w:szCs w:val="21"/>
        </w:rPr>
        <w:t>11.不利用非法手段向采购人员打探有关涉及采购人的商业秘密、业务渠道等。</w:t>
      </w:r>
    </w:p>
    <w:p>
      <w:pPr>
        <w:snapToGrid w:val="0"/>
        <w:spacing w:line="360" w:lineRule="auto"/>
        <w:ind w:firstLine="420" w:firstLineChars="200"/>
        <w:rPr>
          <w:szCs w:val="21"/>
        </w:rPr>
      </w:pPr>
      <w:r>
        <w:rPr>
          <w:szCs w:val="21"/>
        </w:rPr>
        <w:t>12.采购人对涉嫌不廉洁的商业行为进行调查时，本公司（企业）将积极配合，提供相关证据、佐证材料。</w:t>
      </w:r>
    </w:p>
    <w:p>
      <w:pPr>
        <w:snapToGrid w:val="0"/>
        <w:spacing w:line="360" w:lineRule="auto"/>
        <w:ind w:firstLine="420" w:firstLineChars="200"/>
      </w:pPr>
      <w:r>
        <w:t>本公司（企业）承诺在本次比选采购活动中，如有违反上述廉洁行为，所造成的损失、不良后果及法律责任，均由我公司（企业）承担。</w:t>
      </w:r>
    </w:p>
    <w:p>
      <w:pPr>
        <w:snapToGrid w:val="0"/>
        <w:spacing w:line="360" w:lineRule="auto"/>
        <w:ind w:firstLine="420" w:firstLineChars="200"/>
        <w:rPr>
          <w:szCs w:val="21"/>
        </w:rPr>
      </w:pPr>
    </w:p>
    <w:p>
      <w:pPr>
        <w:spacing w:line="500" w:lineRule="exact"/>
        <w:ind w:left="6207" w:leftChars="95" w:hanging="6008" w:hangingChars="2850"/>
        <w:rPr>
          <w:szCs w:val="21"/>
          <w:u w:val="single"/>
        </w:rPr>
      </w:pPr>
      <w:r>
        <w:rPr>
          <w:b/>
        </w:rPr>
        <w:t xml:space="preserve">                           </w:t>
      </w:r>
      <w:r>
        <w:t xml:space="preserve">                </w:t>
      </w:r>
      <w:r>
        <w:rPr>
          <w:spacing w:val="4"/>
          <w:szCs w:val="21"/>
        </w:rPr>
        <w:t>比选申请人名称（</w:t>
      </w:r>
      <w:r>
        <w:rPr>
          <w:szCs w:val="21"/>
        </w:rPr>
        <w:t>单位盖</w:t>
      </w:r>
      <w:r>
        <w:rPr>
          <w:spacing w:val="4"/>
          <w:szCs w:val="21"/>
        </w:rPr>
        <w:t>公章）：</w:t>
      </w:r>
      <w:r>
        <w:rPr>
          <w:szCs w:val="21"/>
          <w:u w:val="single"/>
        </w:rPr>
        <w:t xml:space="preserve">             </w:t>
      </w:r>
    </w:p>
    <w:p>
      <w:pPr>
        <w:spacing w:line="500" w:lineRule="exact"/>
        <w:ind w:firstLine="4796" w:firstLineChars="2200"/>
        <w:rPr>
          <w:szCs w:val="21"/>
          <w:u w:val="single"/>
        </w:rPr>
      </w:pPr>
      <w:r>
        <w:rPr>
          <w:spacing w:val="4"/>
          <w:szCs w:val="21"/>
        </w:rPr>
        <w:t>法定代表人（签名）：</w:t>
      </w:r>
      <w:r>
        <w:rPr>
          <w:szCs w:val="21"/>
          <w:u w:val="single"/>
        </w:rPr>
        <w:t xml:space="preserve">             </w:t>
      </w:r>
    </w:p>
    <w:p>
      <w:pPr>
        <w:spacing w:line="360" w:lineRule="auto"/>
        <w:ind w:firstLine="4796" w:firstLineChars="2200"/>
        <w:rPr>
          <w:szCs w:val="21"/>
          <w:u w:val="single"/>
        </w:rPr>
      </w:pPr>
      <w:r>
        <w:rPr>
          <w:spacing w:val="4"/>
          <w:szCs w:val="21"/>
        </w:rPr>
        <w:t>时间：</w:t>
      </w:r>
      <w:r>
        <w:rPr>
          <w:szCs w:val="21"/>
          <w:u w:val="single"/>
        </w:rPr>
        <w:t xml:space="preserve">                  </w:t>
      </w:r>
    </w:p>
    <w:p>
      <w:pPr>
        <w:spacing w:line="360" w:lineRule="auto"/>
        <w:ind w:right="84" w:rightChars="40"/>
        <w:rPr>
          <w:bCs/>
          <w:sz w:val="24"/>
          <w:szCs w:val="24"/>
        </w:rPr>
      </w:pPr>
      <w:r>
        <w:rPr>
          <w:bCs/>
          <w:sz w:val="24"/>
          <w:szCs w:val="24"/>
        </w:rPr>
        <w:t>说明：本格式文件内容不得擅自删改。</w:t>
      </w:r>
    </w:p>
    <w:p>
      <w:pPr>
        <w:snapToGrid w:val="0"/>
        <w:spacing w:before="156" w:beforeLines="50"/>
        <w:jc w:val="left"/>
      </w:pPr>
    </w:p>
    <w:p>
      <w:pPr>
        <w:snapToGrid w:val="0"/>
        <w:spacing w:before="156" w:beforeLines="50"/>
        <w:jc w:val="left"/>
      </w:pPr>
      <w:r>
        <w:t>附件3：</w:t>
      </w:r>
    </w:p>
    <w:p>
      <w:pPr>
        <w:pStyle w:val="18"/>
        <w:ind w:firstLine="0" w:firstLineChars="0"/>
        <w:jc w:val="center"/>
        <w:rPr>
          <w:rFonts w:eastAsia="仿宋_GB2312"/>
          <w:color w:val="000000"/>
          <w:kern w:val="0"/>
          <w:sz w:val="32"/>
          <w:szCs w:val="32"/>
        </w:rPr>
      </w:pPr>
      <w:r>
        <w:rPr>
          <w:b/>
          <w:sz w:val="24"/>
        </w:rPr>
        <w:t>报价表</w:t>
      </w:r>
    </w:p>
    <w:p>
      <w:pPr>
        <w:ind w:firstLine="480"/>
      </w:pPr>
      <w:r>
        <w:t>采购项目编号：</w:t>
      </w:r>
      <w:r>
        <w:rPr>
          <w:color w:val="000000"/>
          <w:szCs w:val="21"/>
        </w:rPr>
        <w:t>2025-</w:t>
      </w:r>
      <w:r>
        <w:rPr>
          <w:rFonts w:eastAsia="仿宋_GB2312"/>
          <w:color w:val="000000"/>
          <w:sz w:val="32"/>
          <w:szCs w:val="32"/>
          <w:u w:val="single"/>
        </w:rPr>
        <w:t xml:space="preserve">  </w:t>
      </w:r>
      <w:r>
        <w:rPr>
          <w:color w:val="000000"/>
          <w:szCs w:val="21"/>
        </w:rPr>
        <w:t>A</w:t>
      </w:r>
    </w:p>
    <w:p>
      <w:pPr>
        <w:ind w:firstLine="480"/>
      </w:pPr>
      <w:r>
        <w:t>项目名称：广州市老人院2025年检验外送服务采购项目</w:t>
      </w:r>
    </w:p>
    <w:p>
      <w:pPr>
        <w:ind w:firstLine="480"/>
      </w:pPr>
      <w:r>
        <w:t>响应供应商名称：</w:t>
      </w:r>
    </w:p>
    <w:p>
      <w:pPr>
        <w:ind w:firstLine="480"/>
      </w:pPr>
      <w:r>
        <w:t>采购包：</w:t>
      </w:r>
    </w:p>
    <w:p>
      <w:pPr>
        <w:jc w:val="right"/>
      </w:pPr>
    </w:p>
    <w:p>
      <w:pPr>
        <w:jc w:val="right"/>
      </w:pPr>
    </w:p>
    <w:tbl>
      <w:tblPr>
        <w:tblStyle w:val="13"/>
        <w:tblW w:w="785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2"/>
        <w:gridCol w:w="982"/>
        <w:gridCol w:w="982"/>
        <w:gridCol w:w="982"/>
        <w:gridCol w:w="982"/>
        <w:gridCol w:w="982"/>
        <w:gridCol w:w="982"/>
        <w:gridCol w:w="9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 w:type="dxa"/>
            <w:vAlign w:val="center"/>
          </w:tcPr>
          <w:p>
            <w:pPr>
              <w:jc w:val="center"/>
            </w:pPr>
            <w:r>
              <w:t>品目号</w:t>
            </w:r>
          </w:p>
        </w:tc>
        <w:tc>
          <w:tcPr>
            <w:tcW w:w="982" w:type="dxa"/>
            <w:vAlign w:val="center"/>
          </w:tcPr>
          <w:p>
            <w:pPr>
              <w:jc w:val="center"/>
            </w:pPr>
            <w:r>
              <w:t>序号</w:t>
            </w:r>
          </w:p>
        </w:tc>
        <w:tc>
          <w:tcPr>
            <w:tcW w:w="982" w:type="dxa"/>
            <w:vAlign w:val="center"/>
          </w:tcPr>
          <w:p>
            <w:pPr>
              <w:jc w:val="center"/>
            </w:pPr>
            <w:r>
              <w:t>服务名称</w:t>
            </w:r>
          </w:p>
        </w:tc>
        <w:tc>
          <w:tcPr>
            <w:tcW w:w="982" w:type="dxa"/>
            <w:vAlign w:val="center"/>
          </w:tcPr>
          <w:p>
            <w:pPr>
              <w:jc w:val="center"/>
            </w:pPr>
            <w:r>
              <w:t>服务范围</w:t>
            </w:r>
          </w:p>
        </w:tc>
        <w:tc>
          <w:tcPr>
            <w:tcW w:w="982" w:type="dxa"/>
            <w:vAlign w:val="center"/>
          </w:tcPr>
          <w:p>
            <w:pPr>
              <w:jc w:val="center"/>
            </w:pPr>
            <w:r>
              <w:t>服务要求</w:t>
            </w:r>
          </w:p>
        </w:tc>
        <w:tc>
          <w:tcPr>
            <w:tcW w:w="982" w:type="dxa"/>
            <w:vAlign w:val="center"/>
          </w:tcPr>
          <w:p>
            <w:pPr>
              <w:jc w:val="center"/>
            </w:pPr>
            <w:r>
              <w:t>服务期限</w:t>
            </w:r>
          </w:p>
        </w:tc>
        <w:tc>
          <w:tcPr>
            <w:tcW w:w="982" w:type="dxa"/>
            <w:vAlign w:val="center"/>
          </w:tcPr>
          <w:p>
            <w:pPr>
              <w:jc w:val="center"/>
            </w:pPr>
            <w:r>
              <w:t>服务标准</w:t>
            </w:r>
          </w:p>
        </w:tc>
        <w:tc>
          <w:tcPr>
            <w:tcW w:w="982" w:type="dxa"/>
            <w:vAlign w:val="center"/>
          </w:tcPr>
          <w:p>
            <w:pPr>
              <w:jc w:val="center"/>
            </w:pPr>
            <w:r>
              <w:rPr>
                <w:rFonts w:hint="eastAsia"/>
              </w:rPr>
              <w:t>折扣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2" w:type="dxa"/>
            <w:vAlign w:val="center"/>
          </w:tcPr>
          <w:p>
            <w:pPr>
              <w:jc w:val="center"/>
            </w:pPr>
            <w:r>
              <w:t>C04019900</w:t>
            </w:r>
          </w:p>
        </w:tc>
        <w:tc>
          <w:tcPr>
            <w:tcW w:w="982" w:type="dxa"/>
            <w:vAlign w:val="center"/>
          </w:tcPr>
          <w:p>
            <w:pPr>
              <w:jc w:val="center"/>
            </w:pPr>
            <w:r>
              <w:rPr>
                <w:rFonts w:hint="eastAsia"/>
              </w:rPr>
              <w:t>1</w:t>
            </w:r>
          </w:p>
        </w:tc>
        <w:tc>
          <w:tcPr>
            <w:tcW w:w="982" w:type="dxa"/>
            <w:vAlign w:val="center"/>
          </w:tcPr>
          <w:p>
            <w:pPr>
              <w:jc w:val="center"/>
            </w:pPr>
            <w:r>
              <w:t>检验外送服务采</w:t>
            </w:r>
          </w:p>
        </w:tc>
        <w:tc>
          <w:tcPr>
            <w:tcW w:w="982" w:type="dxa"/>
            <w:vAlign w:val="center"/>
          </w:tcPr>
          <w:p>
            <w:pPr>
              <w:jc w:val="center"/>
            </w:pPr>
            <w:r>
              <w:t>详见采购方案第三条</w:t>
            </w:r>
          </w:p>
        </w:tc>
        <w:tc>
          <w:tcPr>
            <w:tcW w:w="982" w:type="dxa"/>
            <w:vAlign w:val="center"/>
          </w:tcPr>
          <w:p>
            <w:pPr>
              <w:jc w:val="center"/>
            </w:pPr>
            <w:r>
              <w:t>详见采购方案第三条</w:t>
            </w:r>
          </w:p>
        </w:tc>
        <w:tc>
          <w:tcPr>
            <w:tcW w:w="982" w:type="dxa"/>
            <w:vAlign w:val="center"/>
          </w:tcPr>
          <w:p>
            <w:pPr>
              <w:jc w:val="center"/>
            </w:pPr>
            <w:r>
              <w:rPr>
                <w:rFonts w:hint="eastAsia"/>
              </w:rPr>
              <w:t>一年</w:t>
            </w:r>
            <w:r>
              <w:rPr>
                <w:rFonts w:hint="eastAsia"/>
                <w:lang w:eastAsia="zh-CN"/>
              </w:rPr>
              <w:t>，</w:t>
            </w:r>
            <w:r>
              <w:rPr>
                <w:rFonts w:hint="eastAsia"/>
                <w:color w:val="000000"/>
                <w:szCs w:val="21"/>
                <w:lang w:val="en-US" w:eastAsia="zh-CN"/>
              </w:rPr>
              <w:t>自2025年7月31日至2026年7月30日止，</w:t>
            </w:r>
            <w:r>
              <w:rPr>
                <w:rFonts w:hint="eastAsia"/>
              </w:rPr>
              <w:t>或达到合同金额</w:t>
            </w:r>
          </w:p>
        </w:tc>
        <w:tc>
          <w:tcPr>
            <w:tcW w:w="982" w:type="dxa"/>
            <w:vAlign w:val="center"/>
          </w:tcPr>
          <w:p>
            <w:pPr>
              <w:jc w:val="center"/>
            </w:pPr>
          </w:p>
        </w:tc>
        <w:tc>
          <w:tcPr>
            <w:tcW w:w="982" w:type="dxa"/>
            <w:vAlign w:val="center"/>
          </w:tcPr>
          <w:p>
            <w:pPr>
              <w:jc w:val="center"/>
            </w:pPr>
          </w:p>
        </w:tc>
      </w:tr>
    </w:tbl>
    <w:p>
      <w:pPr>
        <w:jc w:val="right"/>
      </w:pPr>
    </w:p>
    <w:p>
      <w:pPr>
        <w:jc w:val="right"/>
      </w:pPr>
    </w:p>
    <w:p>
      <w:pPr>
        <w:jc w:val="right"/>
      </w:pPr>
      <w:r>
        <w:t>供应商签章：__________________</w:t>
      </w:r>
    </w:p>
    <w:p>
      <w:pPr>
        <w:jc w:val="right"/>
      </w:pPr>
    </w:p>
    <w:p>
      <w:pPr>
        <w:pStyle w:val="18"/>
        <w:ind w:firstLine="5670" w:firstLineChars="2700"/>
        <w:jc w:val="left"/>
        <w:rPr>
          <w:rFonts w:eastAsia="仿宋_GB2312"/>
          <w:color w:val="000000"/>
          <w:kern w:val="0"/>
          <w:sz w:val="32"/>
          <w:szCs w:val="32"/>
        </w:rPr>
      </w:pPr>
      <w:r>
        <w:t>日期： 年  月   日</w:t>
      </w:r>
    </w:p>
    <w:p>
      <w:pPr>
        <w:snapToGrid w:val="0"/>
        <w:spacing w:before="156" w:beforeLines="50"/>
      </w:pPr>
    </w:p>
    <w:p>
      <w:pPr>
        <w:snapToGrid w:val="0"/>
        <w:spacing w:before="156" w:beforeLines="50"/>
      </w:pPr>
      <w:r>
        <w:rPr>
          <w:color w:val="000000"/>
        </w:rPr>
        <w:t>附件4：</w:t>
      </w:r>
    </w:p>
    <w:p>
      <w:pPr>
        <w:pStyle w:val="23"/>
      </w:pPr>
    </w:p>
    <w:p>
      <w:pPr>
        <w:jc w:val="center"/>
        <w:rPr>
          <w:b/>
          <w:sz w:val="24"/>
        </w:rPr>
      </w:pPr>
      <w:r>
        <w:rPr>
          <w:b/>
          <w:sz w:val="24"/>
        </w:rPr>
        <w:t>实质性响应一览表</w:t>
      </w:r>
    </w:p>
    <w:p>
      <w:pPr>
        <w:jc w:val="center"/>
        <w:rPr>
          <w:b/>
          <w:sz w:val="24"/>
        </w:rPr>
      </w:pPr>
    </w:p>
    <w:tbl>
      <w:tblPr>
        <w:tblStyle w:val="13"/>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实质性响应条款</w:t>
            </w:r>
          </w:p>
        </w:tc>
        <w:tc>
          <w:tcPr>
            <w:tcW w:w="2076" w:type="dxa"/>
          </w:tcPr>
          <w:p>
            <w:r>
              <w:t>比选人响应情况</w:t>
            </w:r>
          </w:p>
        </w:tc>
        <w:tc>
          <w:tcPr>
            <w:tcW w:w="2076" w:type="dxa"/>
          </w:tcPr>
          <w:p>
            <w:r>
              <w:t>差异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2076" w:type="dxa"/>
          </w:tcPr>
          <w:p/>
        </w:tc>
        <w:tc>
          <w:tcPr>
            <w:tcW w:w="2076" w:type="dxa"/>
          </w:tcPr>
          <w:p/>
        </w:tc>
        <w:tc>
          <w:tcPr>
            <w:tcW w:w="2076" w:type="dxa"/>
          </w:tcPr>
          <w:p/>
        </w:tc>
      </w:tr>
    </w:tbl>
    <w:p>
      <w:pPr>
        <w:ind w:firstLine="480"/>
      </w:pPr>
      <w:r>
        <w:t>说明：</w:t>
      </w:r>
    </w:p>
    <w:p>
      <w:pPr>
        <w:ind w:firstLine="480"/>
      </w:pPr>
      <w:r>
        <w:t>1.实质性响应条款一览表后续内容请根据采购文件★号条款详细列举</w:t>
      </w:r>
    </w:p>
    <w:p>
      <w:pPr>
        <w:ind w:firstLine="480"/>
      </w:pPr>
      <w:r>
        <w:t>2.本表所列条款必须一一予以响应，“比选人响应情况”一栏应填写具体的响应内容，有差异的要具体说明。</w:t>
      </w:r>
    </w:p>
    <w:p>
      <w:pPr>
        <w:ind w:firstLine="480"/>
      </w:pPr>
      <w:r>
        <w:t>3.请比选人认真填写本表内容，如填写错误将可能导致比选无效。</w:t>
      </w:r>
    </w:p>
    <w:p>
      <w:pPr>
        <w:pStyle w:val="23"/>
      </w:pPr>
    </w:p>
    <w:p>
      <w:pPr>
        <w:pStyle w:val="23"/>
        <w:jc w:val="both"/>
      </w:pPr>
    </w:p>
    <w:p>
      <w:pPr>
        <w:pStyle w:val="23"/>
        <w:jc w:val="both"/>
      </w:pPr>
    </w:p>
    <w:p>
      <w:pPr>
        <w:pStyle w:val="23"/>
        <w:jc w:val="both"/>
      </w:pPr>
    </w:p>
    <w:p>
      <w:pPr>
        <w:pStyle w:val="23"/>
        <w:jc w:val="both"/>
      </w:pPr>
    </w:p>
    <w:p>
      <w:pPr>
        <w:pStyle w:val="22"/>
        <w:rPr>
          <w:rFonts w:ascii="Times New Roman" w:hAnsi="Times New Roman"/>
          <w:b/>
          <w:sz w:val="24"/>
          <w:szCs w:val="24"/>
        </w:rPr>
      </w:pPr>
      <w:r>
        <w:rPr>
          <w:rFonts w:ascii="Times New Roman" w:hAnsi="Times New Roman"/>
        </w:rPr>
        <w:t>附件5：</w:t>
      </w:r>
    </w:p>
    <w:p>
      <w:pPr>
        <w:pStyle w:val="22"/>
        <w:rPr>
          <w:rFonts w:ascii="Times New Roman" w:hAnsi="Times New Roman"/>
          <w:b/>
          <w:sz w:val="24"/>
          <w:szCs w:val="24"/>
        </w:rPr>
      </w:pPr>
    </w:p>
    <w:p>
      <w:pPr>
        <w:pStyle w:val="22"/>
        <w:ind w:firstLine="3373" w:firstLineChars="1400"/>
        <w:rPr>
          <w:rFonts w:ascii="Times New Roman" w:hAnsi="Times New Roman"/>
          <w:bCs/>
          <w:sz w:val="24"/>
          <w:szCs w:val="24"/>
        </w:rPr>
      </w:pPr>
      <w:r>
        <w:rPr>
          <w:rFonts w:ascii="Times New Roman" w:hAnsi="Times New Roman"/>
          <w:b/>
          <w:sz w:val="24"/>
          <w:szCs w:val="24"/>
        </w:rPr>
        <w:t>授权委托证明书</w:t>
      </w:r>
    </w:p>
    <w:p>
      <w:pPr>
        <w:pStyle w:val="24"/>
        <w:spacing w:line="360" w:lineRule="auto"/>
        <w:ind w:firstLine="424" w:firstLineChars="177"/>
        <w:rPr>
          <w:rFonts w:ascii="Times New Roman" w:hAnsi="Times New Roman"/>
          <w:bCs/>
          <w:sz w:val="24"/>
          <w:szCs w:val="24"/>
        </w:rPr>
      </w:pPr>
      <w:r>
        <w:rPr>
          <w:rFonts w:ascii="Times New Roman" w:hAnsi="Times New Roman"/>
          <w:bCs/>
          <w:sz w:val="24"/>
          <w:szCs w:val="24"/>
        </w:rPr>
        <w:t>兹授权</w:t>
      </w:r>
      <w:r>
        <w:rPr>
          <w:rFonts w:ascii="Times New Roman" w:hAnsi="Times New Roman"/>
          <w:bCs/>
          <w:sz w:val="24"/>
          <w:szCs w:val="24"/>
          <w:u w:val="single"/>
        </w:rPr>
        <w:t xml:space="preserve">                  </w:t>
      </w:r>
      <w:r>
        <w:rPr>
          <w:rFonts w:ascii="Times New Roman" w:hAnsi="Times New Roman"/>
          <w:bCs/>
          <w:sz w:val="24"/>
          <w:szCs w:val="24"/>
        </w:rPr>
        <w:t>（委托代理人姓名）为我方委托代理人，其权限是：</w:t>
      </w:r>
      <w:r>
        <w:rPr>
          <w:rFonts w:ascii="Times New Roman" w:hAnsi="Times New Roman"/>
          <w:sz w:val="24"/>
          <w:szCs w:val="24"/>
        </w:rPr>
        <w:t>办理广州市老人院组织的“        ” (项目编号：     )的比选事宜。</w:t>
      </w:r>
      <w:r>
        <w:rPr>
          <w:rFonts w:ascii="Times New Roman" w:hAnsi="Times New Roman"/>
          <w:sz w:val="24"/>
          <w:szCs w:val="24"/>
          <w:lang w:val="en-GB"/>
        </w:rPr>
        <w:t>本</w:t>
      </w:r>
      <w:r>
        <w:rPr>
          <w:rFonts w:ascii="Times New Roman" w:hAnsi="Times New Roman"/>
          <w:sz w:val="24"/>
          <w:szCs w:val="24"/>
        </w:rPr>
        <w:t>授权书</w:t>
      </w:r>
      <w:r>
        <w:rPr>
          <w:rFonts w:ascii="Times New Roman" w:hAnsi="Times New Roman"/>
          <w:sz w:val="24"/>
          <w:szCs w:val="24"/>
          <w:lang w:val="en-GB"/>
        </w:rPr>
        <w:t>有效期与我方响应文件中标注的响应有效期相同。</w:t>
      </w:r>
    </w:p>
    <w:p>
      <w:pPr>
        <w:pStyle w:val="24"/>
        <w:spacing w:line="360" w:lineRule="auto"/>
        <w:ind w:firstLine="480" w:firstLineChars="200"/>
        <w:rPr>
          <w:rFonts w:ascii="Times New Roman" w:hAnsi="Times New Roman"/>
          <w:sz w:val="24"/>
          <w:szCs w:val="24"/>
          <w:u w:val="single"/>
        </w:rPr>
      </w:pPr>
      <w:r>
        <w:rPr>
          <w:rFonts w:ascii="Times New Roman" w:hAnsi="Times New Roman"/>
          <w:sz w:val="24"/>
          <w:szCs w:val="24"/>
        </w:rPr>
        <w:t>附：代理人性别：</w:t>
      </w:r>
      <w:r>
        <w:rPr>
          <w:rFonts w:ascii="Times New Roman" w:hAnsi="Times New Roman"/>
          <w:sz w:val="24"/>
          <w:szCs w:val="24"/>
          <w:u w:val="single"/>
        </w:rPr>
        <w:t xml:space="preserve">    </w:t>
      </w:r>
      <w:r>
        <w:rPr>
          <w:rFonts w:ascii="Times New Roman" w:hAnsi="Times New Roman"/>
          <w:sz w:val="24"/>
          <w:szCs w:val="24"/>
        </w:rPr>
        <w:t xml:space="preserve">   年龄：</w:t>
      </w:r>
      <w:r>
        <w:rPr>
          <w:rFonts w:ascii="Times New Roman" w:hAnsi="Times New Roman"/>
          <w:sz w:val="24"/>
          <w:szCs w:val="24"/>
          <w:u w:val="single"/>
        </w:rPr>
        <w:t xml:space="preserve">     </w:t>
      </w:r>
      <w:r>
        <w:rPr>
          <w:rFonts w:ascii="Times New Roman" w:hAnsi="Times New Roman"/>
          <w:sz w:val="24"/>
          <w:szCs w:val="24"/>
        </w:rPr>
        <w:t xml:space="preserve">   职务：</w:t>
      </w:r>
      <w:r>
        <w:rPr>
          <w:rFonts w:ascii="Times New Roman" w:hAnsi="Times New Roman"/>
          <w:sz w:val="24"/>
          <w:szCs w:val="24"/>
          <w:u w:val="single"/>
        </w:rPr>
        <w:t xml:space="preserve">               </w:t>
      </w:r>
    </w:p>
    <w:p>
      <w:pPr>
        <w:pStyle w:val="24"/>
        <w:spacing w:line="360" w:lineRule="auto"/>
        <w:ind w:firstLine="480" w:firstLineChars="200"/>
        <w:rPr>
          <w:rFonts w:ascii="Times New Roman" w:hAnsi="Times New Roman"/>
          <w:sz w:val="24"/>
          <w:szCs w:val="24"/>
          <w:u w:val="single"/>
        </w:rPr>
      </w:pPr>
      <w:r>
        <w:rPr>
          <w:rFonts w:ascii="Times New Roman" w:hAnsi="Times New Roman"/>
          <w:sz w:val="24"/>
          <w:szCs w:val="24"/>
        </w:rPr>
        <w:t>　　身份证号码：</w:t>
      </w:r>
      <w:r>
        <w:rPr>
          <w:rFonts w:ascii="Times New Roman" w:hAnsi="Times New Roman"/>
          <w:sz w:val="24"/>
          <w:szCs w:val="24"/>
          <w:u w:val="single"/>
        </w:rPr>
        <w:t xml:space="preserve">                     </w:t>
      </w:r>
    </w:p>
    <w:p>
      <w:pPr>
        <w:pStyle w:val="7"/>
        <w:ind w:firstLine="480"/>
        <w:rPr>
          <w:rFonts w:ascii="Times New Roman" w:hAnsi="Times New Roman"/>
          <w:sz w:val="24"/>
          <w:szCs w:val="24"/>
        </w:rPr>
      </w:pPr>
    </w:p>
    <w:p>
      <w:pPr>
        <w:pStyle w:val="7"/>
        <w:spacing w:line="360" w:lineRule="auto"/>
        <w:ind w:left="3400" w:leftChars="1619"/>
        <w:rPr>
          <w:rFonts w:ascii="Times New Roman" w:hAnsi="Times New Roman"/>
          <w:sz w:val="24"/>
          <w:szCs w:val="24"/>
        </w:rPr>
      </w:pPr>
    </w:p>
    <w:p>
      <w:pPr>
        <w:pStyle w:val="7"/>
        <w:tabs>
          <w:tab w:val="left" w:pos="7488"/>
        </w:tabs>
        <w:spacing w:line="360" w:lineRule="auto"/>
        <w:ind w:firstLine="6480" w:firstLineChars="2700"/>
        <w:rPr>
          <w:rFonts w:ascii="Times New Roman" w:hAnsi="Times New Roman"/>
          <w:sz w:val="24"/>
          <w:szCs w:val="24"/>
        </w:rPr>
      </w:pPr>
      <w:r>
        <w:rPr>
          <w:rFonts w:ascii="Times New Roman" w:hAnsi="Times New Roman"/>
          <w:sz w:val="24"/>
          <w:szCs w:val="24"/>
        </w:rPr>
        <w:t>供应商：（盖章）</w:t>
      </w:r>
    </w:p>
    <w:p>
      <w:pPr>
        <w:pStyle w:val="7"/>
        <w:wordWrap w:val="0"/>
        <w:spacing w:line="360" w:lineRule="auto"/>
        <w:ind w:left="3400" w:leftChars="1619"/>
        <w:jc w:val="right"/>
        <w:rPr>
          <w:rFonts w:ascii="Times New Roman" w:hAnsi="Times New Roman"/>
          <w:sz w:val="24"/>
          <w:szCs w:val="24"/>
        </w:rPr>
      </w:pPr>
      <w:r>
        <w:rPr>
          <w:rFonts w:ascii="Times New Roman" w:hAnsi="Times New Roman"/>
          <w:sz w:val="24"/>
          <w:szCs w:val="24"/>
        </w:rPr>
        <w:t>20  年   月   日</w:t>
      </w:r>
    </w:p>
    <w:p>
      <w:pPr>
        <w:pStyle w:val="7"/>
        <w:jc w:val="right"/>
        <w:rPr>
          <w:rFonts w:ascii="Times New Roman" w:hAnsi="Times New Roman"/>
          <w:sz w:val="24"/>
          <w:szCs w:val="24"/>
        </w:rPr>
      </w:pPr>
    </w:p>
    <w:p>
      <w:pPr>
        <w:pStyle w:val="7"/>
        <w:spacing w:line="460" w:lineRule="exact"/>
        <w:ind w:left="720" w:hanging="720" w:hangingChars="300"/>
        <w:rPr>
          <w:rFonts w:ascii="Times New Roman" w:hAnsi="Times New Roman"/>
          <w:sz w:val="24"/>
          <w:szCs w:val="24"/>
          <w:lang w:val="zh-CN"/>
        </w:rPr>
      </w:pPr>
      <w:r>
        <w:rPr>
          <w:rFonts w:ascii="Times New Roman" w:hAnsi="Times New Roman"/>
          <w:sz w:val="24"/>
          <w:szCs w:val="24"/>
          <w:lang w:val="zh-CN"/>
        </w:rPr>
        <w:t>说明：法定代表人亲自办理</w:t>
      </w:r>
      <w:r>
        <w:rPr>
          <w:rFonts w:ascii="Times New Roman" w:hAnsi="Times New Roman"/>
          <w:sz w:val="24"/>
          <w:szCs w:val="24"/>
        </w:rPr>
        <w:t>比选</w:t>
      </w:r>
      <w:r>
        <w:rPr>
          <w:rFonts w:ascii="Times New Roman" w:hAnsi="Times New Roman"/>
          <w:sz w:val="24"/>
          <w:szCs w:val="24"/>
          <w:lang w:val="zh-CN"/>
        </w:rPr>
        <w:t>事宜的，无需提交本证明书。</w:t>
      </w:r>
    </w:p>
    <w:p>
      <w:pPr>
        <w:pStyle w:val="22"/>
        <w:rPr>
          <w:rFonts w:ascii="Times New Roman" w:hAnsi="Times New Roman"/>
        </w:rPr>
      </w:pPr>
    </w:p>
    <w:p>
      <w:pPr>
        <w:pStyle w:val="22"/>
        <w:rPr>
          <w:rFonts w:ascii="Times New Roman" w:hAnsi="Times New Roman"/>
        </w:rPr>
      </w:pPr>
      <w:r>
        <w:rPr>
          <w:rFonts w:ascii="Times New Roman" w:hAnsi="Times New Roman"/>
        </w:rPr>
        <w:t>附件6：</w:t>
      </w:r>
    </w:p>
    <w:p>
      <w:pPr>
        <w:pStyle w:val="22"/>
        <w:rPr>
          <w:rFonts w:ascii="Times New Roman" w:hAnsi="Times New Roman"/>
        </w:rPr>
      </w:pPr>
    </w:p>
    <w:p>
      <w:pPr>
        <w:ind w:firstLine="480"/>
      </w:pPr>
      <w:r>
        <w:t>（对于采购需求写明“提供承诺”的条款，供应商可参照以下格式提供承诺）</w:t>
      </w:r>
    </w:p>
    <w:p>
      <w:pPr>
        <w:jc w:val="center"/>
      </w:pPr>
      <w:r>
        <w:rPr>
          <w:b/>
          <w:sz w:val="24"/>
        </w:rPr>
        <w:t>承诺函</w:t>
      </w:r>
    </w:p>
    <w:p>
      <w:r>
        <w:t>致：广州市老人院</w:t>
      </w:r>
    </w:p>
    <w:p>
      <w:pPr>
        <w:ind w:firstLine="420" w:firstLineChars="200"/>
      </w:pPr>
      <w:r>
        <w:t>对于__________________项目（项目编号：__________________），我方郑重承诺如下：</w:t>
      </w:r>
    </w:p>
    <w:p>
      <w:pPr>
        <w:ind w:firstLine="480"/>
      </w:pPr>
      <w:r>
        <w:t>如中选，我方承诺严格落实采购文件以下条款：(建议逐条复制采购文件相关条款原文)</w:t>
      </w:r>
    </w:p>
    <w:p>
      <w:pPr>
        <w:ind w:firstLine="480"/>
      </w:pPr>
      <w:r>
        <w:t>（一）星号条款</w:t>
      </w:r>
    </w:p>
    <w:p>
      <w:pPr>
        <w:ind w:firstLine="480"/>
      </w:pPr>
      <w:r>
        <w:t>1.</w:t>
      </w:r>
    </w:p>
    <w:p>
      <w:pPr>
        <w:ind w:firstLine="480"/>
      </w:pPr>
      <w:r>
        <w:t>2.</w:t>
      </w:r>
    </w:p>
    <w:p>
      <w:pPr>
        <w:ind w:firstLine="480"/>
      </w:pPr>
      <w:r>
        <w:t>.........</w:t>
      </w:r>
    </w:p>
    <w:p>
      <w:pPr>
        <w:ind w:firstLine="480"/>
      </w:pPr>
      <w:r>
        <w:t>（二）三角号条款</w:t>
      </w:r>
    </w:p>
    <w:p>
      <w:pPr>
        <w:ind w:firstLine="480"/>
      </w:pPr>
      <w:r>
        <w:t>1.</w:t>
      </w:r>
    </w:p>
    <w:p>
      <w:pPr>
        <w:ind w:firstLine="480"/>
      </w:pPr>
      <w:r>
        <w:t>2.</w:t>
      </w:r>
    </w:p>
    <w:p>
      <w:pPr>
        <w:ind w:firstLine="480"/>
      </w:pPr>
      <w:r>
        <w:t>.........</w:t>
      </w:r>
    </w:p>
    <w:p>
      <w:pPr>
        <w:ind w:firstLine="480"/>
      </w:pPr>
      <w:r>
        <w:t>（三）非星号、非三角号条款</w:t>
      </w:r>
    </w:p>
    <w:p>
      <w:pPr>
        <w:ind w:firstLine="480"/>
      </w:pPr>
      <w:r>
        <w:t>1.</w:t>
      </w:r>
    </w:p>
    <w:p>
      <w:pPr>
        <w:ind w:firstLine="480"/>
      </w:pPr>
      <w:r>
        <w:t>2.</w:t>
      </w:r>
    </w:p>
    <w:p>
      <w:pPr>
        <w:ind w:firstLine="480"/>
      </w:pPr>
      <w:r>
        <w:t>.........</w:t>
      </w:r>
    </w:p>
    <w:p>
      <w:pPr>
        <w:ind w:firstLine="480"/>
      </w:pPr>
      <w:r>
        <w:t>特此承诺。</w:t>
      </w:r>
    </w:p>
    <w:p>
      <w:r>
        <w:t xml:space="preserve">                                               供应商名称（盖章）：___________</w:t>
      </w:r>
    </w:p>
    <w:p>
      <w:pPr>
        <w:ind w:firstLine="5250" w:firstLineChars="2500"/>
      </w:pPr>
      <w:r>
        <w:t>日期： 年 月 日</w:t>
      </w:r>
    </w:p>
    <w:p/>
    <w:p>
      <w:r>
        <w:t>附件7：</w:t>
      </w:r>
    </w:p>
    <w:p>
      <w:pPr>
        <w:ind w:firstLine="480"/>
      </w:pPr>
      <w:r>
        <w:t>（以下格式文件由供应商根据需要选用）</w:t>
      </w:r>
    </w:p>
    <w:p>
      <w:pPr>
        <w:jc w:val="center"/>
        <w:rPr>
          <w:b/>
          <w:sz w:val="24"/>
          <w:szCs w:val="24"/>
          <w:lang w:val="en-GB"/>
        </w:rPr>
      </w:pPr>
      <w:r>
        <w:rPr>
          <w:b/>
          <w:sz w:val="24"/>
          <w:szCs w:val="24"/>
        </w:rPr>
        <w:t>业绩一览表</w:t>
      </w:r>
    </w:p>
    <w:tbl>
      <w:tblPr>
        <w:tblStyle w:val="13"/>
        <w:tblW w:w="95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6" w:space="0"/>
              <w:left w:val="single" w:color="auto" w:sz="6" w:space="0"/>
              <w:bottom w:val="single" w:color="auto" w:sz="6" w:space="0"/>
              <w:right w:val="single" w:color="auto" w:sz="6" w:space="0"/>
            </w:tcBorders>
            <w:vAlign w:val="center"/>
          </w:tcPr>
          <w:p>
            <w:pPr>
              <w:jc w:val="center"/>
              <w:rPr>
                <w:b/>
                <w:bCs/>
                <w:sz w:val="24"/>
                <w:szCs w:val="24"/>
              </w:rPr>
            </w:pPr>
            <w:r>
              <w:rPr>
                <w:b/>
                <w:bCs/>
                <w:sz w:val="24"/>
                <w:szCs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jc w:val="center"/>
              <w:rPr>
                <w:b/>
                <w:bCs/>
                <w:sz w:val="24"/>
                <w:szCs w:val="24"/>
              </w:rPr>
            </w:pPr>
            <w:r>
              <w:rPr>
                <w:b/>
                <w:bCs/>
                <w:sz w:val="24"/>
                <w:szCs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jc w:val="center"/>
              <w:rPr>
                <w:b/>
                <w:bCs/>
                <w:sz w:val="24"/>
                <w:szCs w:val="24"/>
              </w:rPr>
            </w:pPr>
            <w:r>
              <w:rPr>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jc w:val="center"/>
              <w:rPr>
                <w:b/>
                <w:bCs/>
                <w:sz w:val="24"/>
                <w:szCs w:val="24"/>
              </w:rPr>
            </w:pPr>
            <w:r>
              <w:rPr>
                <w:b/>
                <w:bCs/>
                <w:sz w:val="24"/>
                <w:szCs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jc w:val="center"/>
              <w:rPr>
                <w:b/>
                <w:bCs/>
                <w:sz w:val="24"/>
                <w:szCs w:val="24"/>
              </w:rPr>
            </w:pPr>
            <w:r>
              <w:rPr>
                <w:b/>
                <w:bCs/>
                <w:sz w:val="24"/>
                <w:szCs w:val="24"/>
              </w:rPr>
              <w:t>合同签订时间</w:t>
            </w:r>
          </w:p>
        </w:tc>
        <w:tc>
          <w:tcPr>
            <w:tcW w:w="1383" w:type="dxa"/>
            <w:tcBorders>
              <w:top w:val="single" w:color="auto" w:sz="6" w:space="0"/>
              <w:left w:val="single" w:color="auto" w:sz="6" w:space="0"/>
              <w:bottom w:val="single" w:color="auto" w:sz="6" w:space="0"/>
              <w:right w:val="single" w:color="auto" w:sz="6" w:space="0"/>
            </w:tcBorders>
            <w:vAlign w:val="center"/>
          </w:tcPr>
          <w:p>
            <w:pPr>
              <w:jc w:val="center"/>
              <w:rPr>
                <w:b/>
                <w:bCs/>
                <w:sz w:val="24"/>
                <w:szCs w:val="24"/>
              </w:rPr>
            </w:pPr>
            <w:r>
              <w:rPr>
                <w:b/>
                <w:bCs/>
                <w:sz w:val="24"/>
                <w:szCs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jc w:val="center"/>
              <w:rPr>
                <w:b/>
                <w:bCs/>
                <w:sz w:val="24"/>
                <w:szCs w:val="24"/>
              </w:rPr>
            </w:pPr>
            <w:r>
              <w:rPr>
                <w:b/>
                <w:bCs/>
                <w:sz w:val="24"/>
                <w:szCs w:val="24"/>
              </w:rPr>
              <w:t>项目单位联系人电话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sz w:val="24"/>
                <w:szCs w:val="24"/>
              </w:rPr>
            </w:pPr>
            <w:r>
              <w:rPr>
                <w:sz w:val="24"/>
                <w:szCs w:val="24"/>
              </w:rPr>
              <w:t>1</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sz w:val="24"/>
                <w:szCs w:val="24"/>
              </w:rPr>
            </w:pPr>
            <w:r>
              <w:rPr>
                <w:sz w:val="24"/>
                <w:szCs w:val="24"/>
              </w:rPr>
              <w:t>2</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540" w:type="dxa"/>
            <w:tcBorders>
              <w:top w:val="single" w:color="auto" w:sz="6" w:space="0"/>
              <w:left w:val="single" w:color="auto" w:sz="6" w:space="0"/>
              <w:bottom w:val="single" w:color="auto" w:sz="6" w:space="0"/>
              <w:right w:val="single" w:color="auto" w:sz="6" w:space="0"/>
            </w:tcBorders>
          </w:tcPr>
          <w:p>
            <w:pPr>
              <w:spacing w:line="360" w:lineRule="auto"/>
              <w:jc w:val="center"/>
              <w:rPr>
                <w:sz w:val="24"/>
                <w:szCs w:val="24"/>
              </w:rPr>
            </w:pPr>
            <w:r>
              <w:rPr>
                <w:sz w:val="24"/>
                <w:szCs w:val="24"/>
              </w:rPr>
              <w:t>3</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4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r>
              <w:rPr>
                <w:sz w:val="24"/>
                <w:szCs w:val="24"/>
              </w:rPr>
              <w:t>…</w:t>
            </w: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4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4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9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575"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452"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1383"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c>
          <w:tcPr>
            <w:tcW w:w="2037" w:type="dxa"/>
            <w:tcBorders>
              <w:top w:val="single" w:color="auto" w:sz="6" w:space="0"/>
              <w:left w:val="single" w:color="auto" w:sz="6" w:space="0"/>
              <w:bottom w:val="single" w:color="auto" w:sz="6" w:space="0"/>
              <w:right w:val="single" w:color="auto" w:sz="6" w:space="0"/>
            </w:tcBorders>
          </w:tcPr>
          <w:p>
            <w:pPr>
              <w:spacing w:line="360" w:lineRule="auto"/>
              <w:rPr>
                <w:sz w:val="24"/>
                <w:szCs w:val="24"/>
              </w:rPr>
            </w:pPr>
          </w:p>
        </w:tc>
      </w:tr>
    </w:tbl>
    <w:p>
      <w:pPr>
        <w:tabs>
          <w:tab w:val="left" w:pos="1050"/>
          <w:tab w:val="left" w:pos="1838"/>
        </w:tabs>
        <w:spacing w:line="360" w:lineRule="auto"/>
        <w:ind w:left="2"/>
        <w:rPr>
          <w:sz w:val="24"/>
          <w:szCs w:val="24"/>
        </w:rPr>
      </w:pPr>
      <w:r>
        <w:rPr>
          <w:sz w:val="24"/>
          <w:szCs w:val="24"/>
        </w:rPr>
        <w:t>填报要求：依据商务评审中的业绩要求填写本表并提供相关证明材料。请供应商严格按照要求提交相关证明材料，否则有可能影响评审结果。</w:t>
      </w:r>
    </w:p>
    <w:p>
      <w:pPr>
        <w:ind w:firstLine="480"/>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r>
        <w:rPr>
          <w:rFonts w:ascii="Times New Roman" w:hAnsi="Times New Roman"/>
        </w:rPr>
        <w:t>附件8：</w:t>
      </w:r>
    </w:p>
    <w:p>
      <w:pPr>
        <w:pStyle w:val="25"/>
        <w:spacing w:line="360" w:lineRule="auto"/>
        <w:ind w:left="420"/>
        <w:jc w:val="center"/>
        <w:rPr>
          <w:b/>
          <w:sz w:val="28"/>
          <w:szCs w:val="28"/>
          <w:lang w:val="en-GB"/>
        </w:rPr>
      </w:pPr>
      <w:r>
        <w:rPr>
          <w:b/>
          <w:sz w:val="28"/>
          <w:szCs w:val="28"/>
        </w:rPr>
        <w:t>技术/服务方案一般性条款响应差异表</w:t>
      </w:r>
    </w:p>
    <w:tbl>
      <w:tblPr>
        <w:tblStyle w:val="13"/>
        <w:tblW w:w="9470" w:type="dxa"/>
        <w:tblInd w:w="0" w:type="dxa"/>
        <w:tblLayout w:type="fixed"/>
        <w:tblCellMar>
          <w:top w:w="0" w:type="dxa"/>
          <w:left w:w="30" w:type="dxa"/>
          <w:bottom w:w="0" w:type="dxa"/>
          <w:right w:w="30" w:type="dxa"/>
        </w:tblCellMar>
      </w:tblPr>
      <w:tblGrid>
        <w:gridCol w:w="756"/>
        <w:gridCol w:w="4160"/>
        <w:gridCol w:w="2012"/>
        <w:gridCol w:w="2542"/>
      </w:tblGrid>
      <w:tr>
        <w:tblPrEx>
          <w:tblCellMar>
            <w:top w:w="0" w:type="dxa"/>
            <w:left w:w="30" w:type="dxa"/>
            <w:bottom w:w="0" w:type="dxa"/>
            <w:right w:w="30" w:type="dxa"/>
          </w:tblCellMar>
        </w:tblPrEx>
        <w:trPr>
          <w:trHeight w:val="454" w:hRule="exact"/>
        </w:trPr>
        <w:tc>
          <w:tcPr>
            <w:tcW w:w="4916" w:type="dxa"/>
            <w:gridSpan w:val="2"/>
            <w:tcBorders>
              <w:top w:val="single" w:color="auto" w:sz="4" w:space="0"/>
              <w:left w:val="single" w:color="auto" w:sz="4" w:space="0"/>
              <w:right w:val="single" w:color="000000" w:sz="2"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采购需求</w:t>
            </w:r>
          </w:p>
        </w:tc>
        <w:tc>
          <w:tcPr>
            <w:tcW w:w="4554" w:type="dxa"/>
            <w:gridSpan w:val="2"/>
            <w:tcBorders>
              <w:top w:val="single" w:color="auto" w:sz="4" w:space="0"/>
              <w:left w:val="single" w:color="auto" w:sz="6"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比选申请响应</w:t>
            </w: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序号</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项目内容</w:t>
            </w: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承诺</w:t>
            </w: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差异</w:t>
            </w: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1</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rPr>
                <w:sz w:val="24"/>
                <w:szCs w:val="24"/>
              </w:rPr>
            </w:pP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2</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rPr>
                <w:sz w:val="24"/>
                <w:szCs w:val="24"/>
              </w:rPr>
            </w:pP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3</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rPr>
                <w:sz w:val="24"/>
                <w:szCs w:val="24"/>
              </w:rPr>
            </w:pP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4</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rPr>
                <w:sz w:val="24"/>
                <w:szCs w:val="24"/>
              </w:rPr>
            </w:pP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5</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rPr>
                <w:sz w:val="24"/>
                <w:szCs w:val="24"/>
              </w:rPr>
            </w:pP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6</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rPr>
                <w:sz w:val="24"/>
                <w:szCs w:val="24"/>
              </w:rPr>
            </w:pP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p>
        </w:tc>
      </w:tr>
      <w:tr>
        <w:tblPrEx>
          <w:tblCellMar>
            <w:top w:w="0" w:type="dxa"/>
            <w:left w:w="30" w:type="dxa"/>
            <w:bottom w:w="0" w:type="dxa"/>
            <w:right w:w="30" w:type="dxa"/>
          </w:tblCellMar>
        </w:tblPrEx>
        <w:trPr>
          <w:trHeight w:val="454" w:hRule="exact"/>
        </w:trPr>
        <w:tc>
          <w:tcPr>
            <w:tcW w:w="756" w:type="dxa"/>
            <w:tcBorders>
              <w:top w:val="single" w:color="auto" w:sz="4" w:space="0"/>
              <w:left w:val="single" w:color="auto" w:sz="4"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r>
              <w:rPr>
                <w:sz w:val="24"/>
                <w:szCs w:val="24"/>
              </w:rPr>
              <w:t>…</w:t>
            </w:r>
          </w:p>
        </w:tc>
        <w:tc>
          <w:tcPr>
            <w:tcW w:w="4160"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rPr>
                <w:sz w:val="24"/>
                <w:szCs w:val="24"/>
              </w:rPr>
            </w:pPr>
          </w:p>
        </w:tc>
        <w:tc>
          <w:tcPr>
            <w:tcW w:w="2012" w:type="dxa"/>
            <w:tcBorders>
              <w:top w:val="single" w:color="auto" w:sz="4" w:space="0"/>
              <w:left w:val="single" w:color="auto" w:sz="6" w:space="0"/>
              <w:bottom w:val="single" w:color="auto" w:sz="4" w:space="0"/>
              <w:right w:val="single" w:color="auto" w:sz="6" w:space="0"/>
            </w:tcBorders>
            <w:vAlign w:val="center"/>
          </w:tcPr>
          <w:p>
            <w:pPr>
              <w:pStyle w:val="25"/>
              <w:autoSpaceDE w:val="0"/>
              <w:autoSpaceDN w:val="0"/>
              <w:adjustRightInd w:val="0"/>
              <w:spacing w:line="360" w:lineRule="auto"/>
              <w:ind w:right="84" w:rightChars="40"/>
              <w:jc w:val="center"/>
              <w:rPr>
                <w:sz w:val="24"/>
                <w:szCs w:val="24"/>
              </w:rPr>
            </w:pPr>
          </w:p>
        </w:tc>
        <w:tc>
          <w:tcPr>
            <w:tcW w:w="2542" w:type="dxa"/>
            <w:tcBorders>
              <w:top w:val="single" w:color="auto" w:sz="4" w:space="0"/>
              <w:left w:val="single" w:color="auto" w:sz="6" w:space="0"/>
              <w:bottom w:val="single" w:color="auto" w:sz="4" w:space="0"/>
              <w:right w:val="single" w:color="auto" w:sz="4" w:space="0"/>
            </w:tcBorders>
            <w:vAlign w:val="center"/>
          </w:tcPr>
          <w:p>
            <w:pPr>
              <w:pStyle w:val="25"/>
              <w:autoSpaceDE w:val="0"/>
              <w:autoSpaceDN w:val="0"/>
              <w:adjustRightInd w:val="0"/>
              <w:spacing w:line="360" w:lineRule="auto"/>
              <w:ind w:right="84" w:rightChars="40"/>
              <w:jc w:val="center"/>
              <w:rPr>
                <w:sz w:val="24"/>
                <w:szCs w:val="24"/>
              </w:rPr>
            </w:pPr>
          </w:p>
        </w:tc>
      </w:tr>
    </w:tbl>
    <w:p>
      <w:pPr>
        <w:pStyle w:val="25"/>
        <w:spacing w:line="360" w:lineRule="auto"/>
        <w:ind w:left="420"/>
        <w:rPr>
          <w:b/>
          <w:sz w:val="24"/>
          <w:szCs w:val="24"/>
        </w:rPr>
      </w:pPr>
      <w:r>
        <w:rPr>
          <w:sz w:val="24"/>
          <w:szCs w:val="24"/>
        </w:rPr>
        <w:t>填报要求：请按采购需求列出差异内容，若无差异，留空，视为完全响应。</w:t>
      </w:r>
    </w:p>
    <w:p>
      <w:pPr>
        <w:pStyle w:val="23"/>
        <w:jc w:val="both"/>
      </w:pPr>
    </w:p>
    <w:p>
      <w:pPr>
        <w:pStyle w:val="23"/>
        <w:jc w:val="both"/>
      </w:pPr>
    </w:p>
    <w:p>
      <w:pPr>
        <w:pStyle w:val="23"/>
        <w:jc w:val="both"/>
      </w:pPr>
    </w:p>
    <w:p>
      <w:pPr>
        <w:pStyle w:val="23"/>
        <w:jc w:val="both"/>
      </w:pPr>
    </w:p>
    <w:p>
      <w:pPr>
        <w:pStyle w:val="23"/>
        <w:jc w:val="both"/>
      </w:pPr>
    </w:p>
    <w:p>
      <w:pPr>
        <w:pStyle w:val="23"/>
        <w:jc w:val="both"/>
      </w:pPr>
      <w:r>
        <w:t>附件9：</w:t>
      </w:r>
    </w:p>
    <w:p>
      <w:pPr>
        <w:pStyle w:val="23"/>
        <w:jc w:val="both"/>
      </w:pPr>
    </w:p>
    <w:p>
      <w:pPr>
        <w:jc w:val="center"/>
      </w:pPr>
      <w:r>
        <w:rPr>
          <w:b/>
          <w:sz w:val="24"/>
        </w:rPr>
        <w:t>《商务条件响应表》</w:t>
      </w:r>
    </w:p>
    <w:tbl>
      <w:tblPr>
        <w:tblStyle w:val="13"/>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t>比选文件规定的商务条件</w:t>
            </w:r>
          </w:p>
        </w:tc>
        <w:tc>
          <w:tcPr>
            <w:tcW w:w="1187" w:type="dxa"/>
          </w:tcPr>
          <w:p>
            <w:r>
              <w:t>响应文件响应的具体内容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jc w:val="center"/>
            </w:pPr>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1.“比选文件规定的商务条件”项下填写的内容应与比选文件中采购需求的 “商务要求”的内容保持一致。</w:t>
      </w:r>
    </w:p>
    <w:p>
      <w:pPr>
        <w:ind w:firstLine="480"/>
      </w:pPr>
      <w:r>
        <w:t>2.供应商应当如实填写上表“响应文件响应的具体内容”处内容，对比选文件规定的商务条件作出明确响应，并列明具体响应数值或内容，只注明符合、满足等无具体内容表述或照搬照抄采购文件参数、不注明实际数值者的，将视为未实质性满足比选文件要求。供应商需要说明的内容若需特殊表达，应先在本表中进行相应说明，再另页应答，否则</w:t>
      </w:r>
      <w:r>
        <w:rPr>
          <w:b/>
        </w:rPr>
        <w:t>响应无效</w:t>
      </w:r>
      <w:r>
        <w:t>。</w:t>
      </w:r>
    </w:p>
    <w:p>
      <w:pPr>
        <w:ind w:firstLine="480"/>
      </w:pPr>
      <w:r>
        <w:t>3.参数性质栏标注“★”、“▲”号条款标志，打“★”号条款为实质性条款，若有任何一条负偏离或不满足则导致响应无效。打“▲”号条款为重要技术参数（如有），若有部分“▲”条款未响应或不满足，将根据评审要求影响其得分，但不作为无效响应条款。</w:t>
      </w:r>
    </w:p>
    <w:p>
      <w:pPr>
        <w:ind w:firstLine="480"/>
      </w:pPr>
      <w:r>
        <w:t>4.“是否偏离”项下应按下列规定填写：优于的，填写“正偏离”；符合的，填写“无偏离”；低于的，填写“负偏离”。</w:t>
      </w:r>
    </w:p>
    <w:p>
      <w:pPr>
        <w:ind w:firstLine="480"/>
      </w:pPr>
      <w:r>
        <w:t>5.“备注”处可填写偏离情况的说明。</w:t>
      </w: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p>
    <w:p>
      <w:pPr>
        <w:pStyle w:val="22"/>
        <w:rPr>
          <w:rFonts w:ascii="Times New Roman" w:hAnsi="Times New Roman"/>
        </w:rPr>
      </w:pPr>
      <w:r>
        <w:rPr>
          <w:rFonts w:ascii="Times New Roman" w:hAnsi="Times New Roman"/>
        </w:rPr>
        <w:t>附件</w:t>
      </w:r>
      <w:r>
        <w:rPr>
          <w:rFonts w:hint="eastAsia" w:ascii="Times New Roman" w:hAnsi="Times New Roman"/>
          <w:lang w:val="en-US" w:eastAsia="zh-CN"/>
        </w:rPr>
        <w:t>10</w:t>
      </w:r>
      <w:r>
        <w:rPr>
          <w:rFonts w:ascii="Times New Roman" w:hAnsi="Times New Roman"/>
        </w:rPr>
        <w:t>：</w:t>
      </w:r>
    </w:p>
    <w:p>
      <w:pPr>
        <w:tabs>
          <w:tab w:val="left" w:pos="0"/>
          <w:tab w:val="left" w:pos="851"/>
        </w:tabs>
        <w:autoSpaceDE w:val="0"/>
        <w:autoSpaceDN w:val="0"/>
        <w:adjustRightInd w:val="0"/>
        <w:snapToGrid w:val="0"/>
        <w:ind w:left="840" w:hanging="420"/>
        <w:jc w:val="center"/>
        <w:outlineLvl w:val="2"/>
        <w:rPr>
          <w:sz w:val="28"/>
          <w:szCs w:val="28"/>
        </w:rPr>
      </w:pPr>
      <w:r>
        <w:rPr>
          <w:sz w:val="24"/>
          <w:szCs w:val="24"/>
        </w:rPr>
        <w:t xml:space="preserve">  </w:t>
      </w:r>
      <w:r>
        <w:rPr>
          <w:b/>
          <w:sz w:val="28"/>
          <w:szCs w:val="28"/>
        </w:rPr>
        <w:t>履约评价表</w:t>
      </w:r>
    </w:p>
    <w:tbl>
      <w:tblPr>
        <w:tblStyle w:val="13"/>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986"/>
        <w:gridCol w:w="3160"/>
        <w:gridCol w:w="883"/>
        <w:gridCol w:w="1939"/>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shd w:val="clear" w:color="auto" w:fill="auto"/>
            <w:vAlign w:val="center"/>
          </w:tcPr>
          <w:p>
            <w:pPr>
              <w:widowControl/>
              <w:adjustRightInd w:val="0"/>
              <w:snapToGrid w:val="0"/>
              <w:jc w:val="center"/>
              <w:rPr>
                <w:szCs w:val="24"/>
              </w:rPr>
            </w:pPr>
            <w:r>
              <w:rPr>
                <w:color w:val="000000"/>
                <w:szCs w:val="24"/>
              </w:rPr>
              <w:t>序号</w:t>
            </w:r>
          </w:p>
        </w:tc>
        <w:tc>
          <w:tcPr>
            <w:tcW w:w="4146" w:type="dxa"/>
            <w:gridSpan w:val="2"/>
            <w:shd w:val="clear" w:color="auto" w:fill="auto"/>
            <w:vAlign w:val="center"/>
          </w:tcPr>
          <w:p>
            <w:pPr>
              <w:widowControl/>
              <w:adjustRightInd w:val="0"/>
              <w:snapToGrid w:val="0"/>
              <w:jc w:val="center"/>
              <w:rPr>
                <w:szCs w:val="24"/>
              </w:rPr>
            </w:pPr>
            <w:r>
              <w:rPr>
                <w:color w:val="000000"/>
                <w:szCs w:val="24"/>
              </w:rPr>
              <w:t>检查内容</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分值</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center"/>
              <w:rPr>
                <w:szCs w:val="24"/>
              </w:rPr>
            </w:pPr>
            <w:r>
              <w:rPr>
                <w:color w:val="000000"/>
                <w:szCs w:val="24"/>
              </w:rPr>
              <w:t>评分标准</w:t>
            </w:r>
          </w:p>
        </w:tc>
        <w:tc>
          <w:tcPr>
            <w:tcW w:w="943" w:type="dxa"/>
            <w:tcBorders>
              <w:top w:val="single" w:color="auto" w:sz="4" w:space="0"/>
              <w:left w:val="single" w:color="auto" w:sz="4" w:space="0"/>
              <w:bottom w:val="single" w:color="auto" w:sz="4" w:space="0"/>
            </w:tcBorders>
            <w:vAlign w:val="center"/>
          </w:tcPr>
          <w:p>
            <w:pPr>
              <w:widowControl/>
              <w:adjustRightInd w:val="0"/>
              <w:snapToGrid w:val="0"/>
              <w:jc w:val="center"/>
              <w:rPr>
                <w:color w:val="000000"/>
                <w:szCs w:val="24"/>
              </w:rPr>
            </w:pPr>
            <w:r>
              <w:rPr>
                <w:color w:val="000000"/>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82" w:type="dxa"/>
            <w:vMerge w:val="restart"/>
            <w:shd w:val="clear" w:color="auto" w:fill="auto"/>
            <w:vAlign w:val="center"/>
          </w:tcPr>
          <w:p>
            <w:pPr>
              <w:widowControl/>
              <w:adjustRightInd w:val="0"/>
              <w:snapToGrid w:val="0"/>
              <w:jc w:val="center"/>
              <w:rPr>
                <w:szCs w:val="24"/>
              </w:rPr>
            </w:pPr>
            <w:r>
              <w:rPr>
                <w:color w:val="000000"/>
                <w:szCs w:val="24"/>
              </w:rPr>
              <w:t>1</w:t>
            </w:r>
          </w:p>
        </w:tc>
        <w:tc>
          <w:tcPr>
            <w:tcW w:w="986" w:type="dxa"/>
            <w:vMerge w:val="restart"/>
            <w:shd w:val="clear" w:color="auto" w:fill="auto"/>
            <w:vAlign w:val="center"/>
          </w:tcPr>
          <w:p>
            <w:pPr>
              <w:widowControl/>
              <w:adjustRightInd w:val="0"/>
              <w:snapToGrid w:val="0"/>
              <w:jc w:val="center"/>
              <w:rPr>
                <w:szCs w:val="24"/>
              </w:rPr>
            </w:pPr>
            <w:r>
              <w:rPr>
                <w:color w:val="000000"/>
                <w:szCs w:val="24"/>
              </w:rPr>
              <w:t>报告发送情况</w:t>
            </w:r>
          </w:p>
          <w:p>
            <w:pPr>
              <w:widowControl/>
              <w:adjustRightInd w:val="0"/>
              <w:snapToGrid w:val="0"/>
              <w:jc w:val="center"/>
              <w:rPr>
                <w:szCs w:val="24"/>
              </w:rPr>
            </w:pPr>
            <w:r>
              <w:rPr>
                <w:color w:val="000000"/>
                <w:szCs w:val="24"/>
              </w:rPr>
              <w:t>(34分)</w:t>
            </w:r>
          </w:p>
        </w:tc>
        <w:tc>
          <w:tcPr>
            <w:tcW w:w="3160" w:type="dxa"/>
            <w:shd w:val="clear" w:color="auto" w:fill="auto"/>
            <w:vAlign w:val="center"/>
          </w:tcPr>
          <w:p>
            <w:pPr>
              <w:widowControl/>
              <w:adjustRightInd w:val="0"/>
              <w:snapToGrid w:val="0"/>
              <w:rPr>
                <w:szCs w:val="24"/>
              </w:rPr>
            </w:pPr>
            <w:r>
              <w:rPr>
                <w:color w:val="000000"/>
                <w:szCs w:val="24"/>
              </w:rPr>
              <w:t>各种检验结果按常规报告时间出具报告</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未按规定时间出具报告，出现1例扣1分，扣完为止。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检验报告单发送及时、无遗漏、无丢失，发送地址无差错</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报告单未及时发送，每出现1例扣2分；出现遗漏、丢失每例扣2分，扣完为止。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报告单书写整洁、无错项、无漏项、签名易辨认、信息完整</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10</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报告单书写潦草每例扣1分、签名无法辨认每例扣1分、信息漏项每例扣1分，检验项目漏项每例扣2分，扣完为止。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检验结果准确无误，无因检验结果错误导致医疗纠纷</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检验结果出现1例错误不得分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出现危急值结果时，必须检查标本合格情况，质控达标情况运行是否正常，并对结果进行复查后登记；必须按危急值报告流程电话通知医院</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未及时报告危急值每例扣2分，扣完为止。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82" w:type="dxa"/>
            <w:vMerge w:val="restart"/>
            <w:shd w:val="clear" w:color="auto" w:fill="auto"/>
            <w:vAlign w:val="center"/>
          </w:tcPr>
          <w:p>
            <w:pPr>
              <w:widowControl/>
              <w:adjustRightInd w:val="0"/>
              <w:snapToGrid w:val="0"/>
              <w:jc w:val="center"/>
              <w:rPr>
                <w:szCs w:val="24"/>
              </w:rPr>
            </w:pPr>
            <w:r>
              <w:rPr>
                <w:color w:val="000000"/>
                <w:szCs w:val="24"/>
              </w:rPr>
              <w:t>2</w:t>
            </w:r>
          </w:p>
        </w:tc>
        <w:tc>
          <w:tcPr>
            <w:tcW w:w="986" w:type="dxa"/>
            <w:vMerge w:val="restart"/>
            <w:shd w:val="clear" w:color="auto" w:fill="auto"/>
            <w:vAlign w:val="center"/>
          </w:tcPr>
          <w:p>
            <w:pPr>
              <w:widowControl/>
              <w:adjustRightInd w:val="0"/>
              <w:snapToGrid w:val="0"/>
              <w:jc w:val="center"/>
              <w:rPr>
                <w:szCs w:val="24"/>
              </w:rPr>
            </w:pPr>
            <w:r>
              <w:rPr>
                <w:color w:val="000000"/>
                <w:szCs w:val="24"/>
              </w:rPr>
              <w:t>服务管理情况</w:t>
            </w:r>
          </w:p>
          <w:p>
            <w:pPr>
              <w:widowControl/>
              <w:adjustRightInd w:val="0"/>
              <w:snapToGrid w:val="0"/>
              <w:jc w:val="center"/>
              <w:rPr>
                <w:szCs w:val="24"/>
              </w:rPr>
            </w:pPr>
            <w:r>
              <w:rPr>
                <w:color w:val="000000"/>
                <w:szCs w:val="24"/>
              </w:rPr>
              <w:t>(18分)</w:t>
            </w:r>
          </w:p>
        </w:tc>
        <w:tc>
          <w:tcPr>
            <w:tcW w:w="3160" w:type="dxa"/>
            <w:shd w:val="clear" w:color="auto" w:fill="auto"/>
            <w:vAlign w:val="center"/>
          </w:tcPr>
          <w:p>
            <w:pPr>
              <w:widowControl/>
              <w:adjustRightInd w:val="0"/>
              <w:snapToGrid w:val="0"/>
              <w:rPr>
                <w:szCs w:val="24"/>
              </w:rPr>
            </w:pPr>
            <w:r>
              <w:rPr>
                <w:color w:val="000000"/>
                <w:szCs w:val="24"/>
              </w:rPr>
              <w:t>免费上门收取标本，提供项目的取样，标本的分割，标本保存等知识培训</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不提供不得分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准时配送标本；按规范流程进行标本接收、登记和包装</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未按规范进行标本登记每出现1例扣1分，扣完为止。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标本接收及时、无遗漏、无丢失</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标本未及时接收，每出现1例扣2分；出现遗漏、丢失每例扣2分，扣完为止。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vMerge w:val="restart"/>
            <w:shd w:val="clear" w:color="auto" w:fill="auto"/>
            <w:vAlign w:val="center"/>
          </w:tcPr>
          <w:p>
            <w:pPr>
              <w:widowControl/>
              <w:adjustRightInd w:val="0"/>
              <w:snapToGrid w:val="0"/>
              <w:jc w:val="center"/>
              <w:rPr>
                <w:szCs w:val="24"/>
              </w:rPr>
            </w:pPr>
            <w:r>
              <w:rPr>
                <w:color w:val="000000"/>
                <w:szCs w:val="24"/>
              </w:rPr>
              <w:t>3</w:t>
            </w:r>
          </w:p>
        </w:tc>
        <w:tc>
          <w:tcPr>
            <w:tcW w:w="986" w:type="dxa"/>
            <w:vMerge w:val="restart"/>
            <w:shd w:val="clear" w:color="auto" w:fill="auto"/>
            <w:vAlign w:val="center"/>
          </w:tcPr>
          <w:p>
            <w:pPr>
              <w:widowControl/>
              <w:adjustRightInd w:val="0"/>
              <w:snapToGrid w:val="0"/>
              <w:jc w:val="center"/>
              <w:rPr>
                <w:szCs w:val="24"/>
              </w:rPr>
            </w:pPr>
            <w:r>
              <w:rPr>
                <w:color w:val="000000"/>
                <w:szCs w:val="24"/>
              </w:rPr>
              <w:t>质量管理情况（24分）</w:t>
            </w:r>
          </w:p>
        </w:tc>
        <w:tc>
          <w:tcPr>
            <w:tcW w:w="3160" w:type="dxa"/>
            <w:shd w:val="clear" w:color="auto" w:fill="auto"/>
            <w:vAlign w:val="center"/>
          </w:tcPr>
          <w:p>
            <w:pPr>
              <w:widowControl/>
              <w:adjustRightInd w:val="0"/>
              <w:snapToGrid w:val="0"/>
              <w:rPr>
                <w:szCs w:val="24"/>
              </w:rPr>
            </w:pPr>
            <w:r>
              <w:rPr>
                <w:color w:val="000000"/>
                <w:szCs w:val="24"/>
              </w:rPr>
              <w:t>配备标本箱有温度监测</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未配备标本箱温度监测不得分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检验报告准确无差错</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报告出现差错，不得分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按照申请单提交项目和收费情况做检测</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未按要求检测，每例扣2分，扣完为止。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负责送检标本处置（特殊情况除外），保证送检标本及诊断结果相关资料保密</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发现资料泄露不得分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vMerge w:val="restart"/>
            <w:shd w:val="clear" w:color="auto" w:fill="auto"/>
            <w:vAlign w:val="center"/>
          </w:tcPr>
          <w:p>
            <w:pPr>
              <w:widowControl/>
              <w:adjustRightInd w:val="0"/>
              <w:snapToGrid w:val="0"/>
              <w:jc w:val="center"/>
              <w:rPr>
                <w:szCs w:val="24"/>
              </w:rPr>
            </w:pPr>
            <w:r>
              <w:rPr>
                <w:color w:val="000000"/>
                <w:szCs w:val="24"/>
              </w:rPr>
              <w:t>4</w:t>
            </w:r>
          </w:p>
        </w:tc>
        <w:tc>
          <w:tcPr>
            <w:tcW w:w="986" w:type="dxa"/>
            <w:vMerge w:val="restart"/>
            <w:shd w:val="clear" w:color="auto" w:fill="auto"/>
            <w:vAlign w:val="center"/>
          </w:tcPr>
          <w:p>
            <w:pPr>
              <w:widowControl/>
              <w:adjustRightInd w:val="0"/>
              <w:snapToGrid w:val="0"/>
              <w:jc w:val="center"/>
              <w:rPr>
                <w:szCs w:val="24"/>
              </w:rPr>
            </w:pPr>
            <w:r>
              <w:rPr>
                <w:color w:val="000000"/>
                <w:szCs w:val="24"/>
              </w:rPr>
              <w:t>费用结算情况（24分）</w:t>
            </w:r>
          </w:p>
        </w:tc>
        <w:tc>
          <w:tcPr>
            <w:tcW w:w="3160" w:type="dxa"/>
            <w:shd w:val="clear" w:color="auto" w:fill="auto"/>
            <w:vAlign w:val="center"/>
          </w:tcPr>
          <w:p>
            <w:pPr>
              <w:widowControl/>
              <w:adjustRightInd w:val="0"/>
              <w:snapToGrid w:val="0"/>
              <w:rPr>
                <w:szCs w:val="24"/>
              </w:rPr>
            </w:pPr>
            <w:r>
              <w:rPr>
                <w:color w:val="000000"/>
                <w:szCs w:val="24"/>
              </w:rPr>
              <w:t>按照医疗收据核准结算</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未按医疗收据核准结算不得分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按照收费标准结算</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未按收费标准结算不得分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按照协议收费</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未按协议收费不得分</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82" w:type="dxa"/>
            <w:vMerge w:val="continue"/>
            <w:shd w:val="clear" w:color="auto" w:fill="auto"/>
            <w:vAlign w:val="center"/>
          </w:tcPr>
          <w:p>
            <w:pPr>
              <w:widowControl/>
              <w:adjustRightInd w:val="0"/>
              <w:snapToGrid w:val="0"/>
              <w:rPr>
                <w:szCs w:val="24"/>
              </w:rPr>
            </w:pPr>
          </w:p>
        </w:tc>
        <w:tc>
          <w:tcPr>
            <w:tcW w:w="986" w:type="dxa"/>
            <w:vMerge w:val="continue"/>
            <w:shd w:val="clear" w:color="auto" w:fill="auto"/>
            <w:vAlign w:val="center"/>
          </w:tcPr>
          <w:p>
            <w:pPr>
              <w:widowControl/>
              <w:adjustRightInd w:val="0"/>
              <w:snapToGrid w:val="0"/>
              <w:rPr>
                <w:szCs w:val="24"/>
              </w:rPr>
            </w:pPr>
          </w:p>
        </w:tc>
        <w:tc>
          <w:tcPr>
            <w:tcW w:w="3160" w:type="dxa"/>
            <w:shd w:val="clear" w:color="auto" w:fill="auto"/>
            <w:vAlign w:val="center"/>
          </w:tcPr>
          <w:p>
            <w:pPr>
              <w:widowControl/>
              <w:adjustRightInd w:val="0"/>
              <w:snapToGrid w:val="0"/>
              <w:rPr>
                <w:szCs w:val="24"/>
              </w:rPr>
            </w:pPr>
            <w:r>
              <w:rPr>
                <w:color w:val="000000"/>
                <w:szCs w:val="24"/>
              </w:rPr>
              <w:t>当在检测项目发生变化或价格发生变化时需提供更改清单。清单详细列出检验项目、检测内容、检测方法、检验标本和价格等更改的内容</w:t>
            </w:r>
          </w:p>
        </w:tc>
        <w:tc>
          <w:tcPr>
            <w:tcW w:w="883" w:type="dxa"/>
            <w:tcBorders>
              <w:right w:val="single" w:color="auto" w:sz="4" w:space="0"/>
            </w:tcBorders>
            <w:shd w:val="clear" w:color="auto" w:fill="auto"/>
            <w:vAlign w:val="center"/>
          </w:tcPr>
          <w:p>
            <w:pPr>
              <w:widowControl/>
              <w:adjustRightInd w:val="0"/>
              <w:snapToGrid w:val="0"/>
              <w:jc w:val="center"/>
              <w:rPr>
                <w:szCs w:val="24"/>
              </w:rPr>
            </w:pPr>
            <w:r>
              <w:rPr>
                <w:color w:val="000000"/>
                <w:szCs w:val="24"/>
              </w:rPr>
              <w:t>6</w:t>
            </w:r>
          </w:p>
        </w:tc>
        <w:tc>
          <w:tcPr>
            <w:tcW w:w="1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jc w:val="left"/>
              <w:rPr>
                <w:szCs w:val="24"/>
              </w:rPr>
            </w:pPr>
            <w:r>
              <w:rPr>
                <w:szCs w:val="24"/>
              </w:rPr>
              <w:t>未及时提供，每出现1次扣2分，扣完为止。</w:t>
            </w:r>
          </w:p>
        </w:tc>
        <w:tc>
          <w:tcPr>
            <w:tcW w:w="943" w:type="dxa"/>
            <w:tcBorders>
              <w:top w:val="single" w:color="auto" w:sz="4" w:space="0"/>
              <w:left w:val="single" w:color="auto" w:sz="4" w:space="0"/>
              <w:bottom w:val="single" w:color="auto" w:sz="4" w:space="0"/>
            </w:tcBorders>
            <w:vAlign w:val="center"/>
          </w:tcPr>
          <w:p>
            <w:pPr>
              <w:widowControl/>
              <w:adjustRightInd w:val="0"/>
              <w:snapToGrid w:val="0"/>
              <w:ind w:firstLine="42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50" w:type="dxa"/>
            <w:gridSpan w:val="5"/>
            <w:shd w:val="clear" w:color="auto" w:fill="FFFFFF"/>
            <w:vAlign w:val="center"/>
          </w:tcPr>
          <w:p>
            <w:pPr>
              <w:widowControl/>
              <w:adjustRightInd w:val="0"/>
              <w:snapToGrid w:val="0"/>
              <w:jc w:val="center"/>
              <w:rPr>
                <w:color w:val="000000"/>
                <w:szCs w:val="24"/>
              </w:rPr>
            </w:pPr>
            <w:r>
              <w:rPr>
                <w:color w:val="000000"/>
                <w:sz w:val="24"/>
                <w:szCs w:val="24"/>
              </w:rPr>
              <w:t>合计得分：</w:t>
            </w:r>
          </w:p>
        </w:tc>
        <w:tc>
          <w:tcPr>
            <w:tcW w:w="943" w:type="dxa"/>
            <w:vAlign w:val="center"/>
          </w:tcPr>
          <w:p>
            <w:pPr>
              <w:widowControl/>
              <w:adjustRightInd w:val="0"/>
              <w:snapToGrid w:val="0"/>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393" w:type="dxa"/>
            <w:gridSpan w:val="6"/>
            <w:shd w:val="clear" w:color="auto" w:fill="FFFFFF"/>
            <w:vAlign w:val="center"/>
          </w:tcPr>
          <w:p>
            <w:pPr>
              <w:widowControl/>
              <w:adjustRightInd w:val="0"/>
              <w:snapToGrid w:val="0"/>
              <w:rPr>
                <w:color w:val="000000"/>
                <w:szCs w:val="24"/>
              </w:rPr>
            </w:pPr>
            <w:r>
              <w:rPr>
                <w:color w:val="000000"/>
                <w:sz w:val="24"/>
                <w:szCs w:val="24"/>
              </w:rPr>
              <w:t>备注：90以上（含90分）为优秀，80分以上（含</w:t>
            </w:r>
            <w:r>
              <w:rPr>
                <w:rFonts w:hint="eastAsia"/>
                <w:color w:val="000000"/>
                <w:sz w:val="24"/>
                <w:szCs w:val="24"/>
              </w:rPr>
              <w:t>8</w:t>
            </w:r>
            <w:r>
              <w:rPr>
                <w:color w:val="000000"/>
                <w:sz w:val="24"/>
                <w:szCs w:val="24"/>
              </w:rPr>
              <w:t>0分）90分以下为良好；60分以上（含</w:t>
            </w:r>
            <w:r>
              <w:rPr>
                <w:rFonts w:hint="eastAsia"/>
                <w:color w:val="000000"/>
                <w:sz w:val="24"/>
                <w:szCs w:val="24"/>
              </w:rPr>
              <w:t>6</w:t>
            </w:r>
            <w:r>
              <w:rPr>
                <w:color w:val="000000"/>
                <w:sz w:val="24"/>
                <w:szCs w:val="24"/>
              </w:rPr>
              <w:t>0分）80分以下为合格；60分以下（不含60分）为不合格。</w:t>
            </w:r>
          </w:p>
        </w:tc>
      </w:tr>
    </w:tbl>
    <w:p>
      <w:pPr>
        <w:rPr>
          <w:sz w:val="24"/>
          <w:szCs w:val="24"/>
        </w:rPr>
      </w:pPr>
      <w:r>
        <w:rPr>
          <w:sz w:val="24"/>
          <w:szCs w:val="24"/>
        </w:rPr>
        <w:t xml:space="preserve">            </w:t>
      </w:r>
    </w:p>
    <w:p>
      <w:pPr>
        <w:ind w:firstLine="5670" w:firstLineChars="270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26AB0"/>
    <w:multiLevelType w:val="singleLevel"/>
    <w:tmpl w:val="BB626AB0"/>
    <w:lvl w:ilvl="0" w:tentative="0">
      <w:start w:val="2"/>
      <w:numFmt w:val="decimal"/>
      <w:suff w:val="space"/>
      <w:lvlText w:val="%1."/>
      <w:lvlJc w:val="left"/>
    </w:lvl>
  </w:abstractNum>
  <w:abstractNum w:abstractNumId="1">
    <w:nsid w:val="1337779A"/>
    <w:multiLevelType w:val="singleLevel"/>
    <w:tmpl w:val="1337779A"/>
    <w:lvl w:ilvl="0" w:tentative="0">
      <w:start w:val="7"/>
      <w:numFmt w:val="chineseCounting"/>
      <w:suff w:val="nothing"/>
      <w:lvlText w:val="%1、"/>
      <w:lvlJc w:val="left"/>
      <w:rPr>
        <w:rFonts w:hint="eastAsia"/>
      </w:rPr>
    </w:lvl>
  </w:abstractNum>
  <w:abstractNum w:abstractNumId="2">
    <w:nsid w:val="7BD44628"/>
    <w:multiLevelType w:val="singleLevel"/>
    <w:tmpl w:val="7BD44628"/>
    <w:lvl w:ilvl="0" w:tentative="0">
      <w:start w:val="1"/>
      <w:numFmt w:val="decimal"/>
      <w:lvlText w:val="%1"/>
      <w:lvlJc w:val="left"/>
      <w:pPr>
        <w:tabs>
          <w:tab w:val="left" w:pos="420"/>
        </w:tabs>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6"/>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VmNDFiYzFlNzdkOWNiZGNjN2M4YjQ1MmMyYmMifQ=="/>
  </w:docVars>
  <w:rsids>
    <w:rsidRoot w:val="4E522EA1"/>
    <w:rsid w:val="00C860AE"/>
    <w:rsid w:val="00CD1B76"/>
    <w:rsid w:val="00E2747F"/>
    <w:rsid w:val="01831488"/>
    <w:rsid w:val="01987FE8"/>
    <w:rsid w:val="020015CD"/>
    <w:rsid w:val="02526019"/>
    <w:rsid w:val="028213AB"/>
    <w:rsid w:val="02E21E71"/>
    <w:rsid w:val="044A1157"/>
    <w:rsid w:val="04B50046"/>
    <w:rsid w:val="04B54A0D"/>
    <w:rsid w:val="04C74740"/>
    <w:rsid w:val="04D01DCB"/>
    <w:rsid w:val="04F46C31"/>
    <w:rsid w:val="05E732EC"/>
    <w:rsid w:val="061D25AB"/>
    <w:rsid w:val="065A158C"/>
    <w:rsid w:val="07174FBA"/>
    <w:rsid w:val="07440AD9"/>
    <w:rsid w:val="07502896"/>
    <w:rsid w:val="07AC662C"/>
    <w:rsid w:val="07FE1F50"/>
    <w:rsid w:val="08B80F70"/>
    <w:rsid w:val="08FF5552"/>
    <w:rsid w:val="095F2F6D"/>
    <w:rsid w:val="099B4D0F"/>
    <w:rsid w:val="099D3807"/>
    <w:rsid w:val="09E666C9"/>
    <w:rsid w:val="0A657C83"/>
    <w:rsid w:val="0AA114F7"/>
    <w:rsid w:val="0B567CD0"/>
    <w:rsid w:val="0C4C20FB"/>
    <w:rsid w:val="0C8A2710"/>
    <w:rsid w:val="0D662285"/>
    <w:rsid w:val="0FE30C1D"/>
    <w:rsid w:val="101C25B4"/>
    <w:rsid w:val="102C5831"/>
    <w:rsid w:val="10527347"/>
    <w:rsid w:val="10A9227D"/>
    <w:rsid w:val="110E4E87"/>
    <w:rsid w:val="115A5307"/>
    <w:rsid w:val="117F32DD"/>
    <w:rsid w:val="14C2659D"/>
    <w:rsid w:val="14FD7DD8"/>
    <w:rsid w:val="159269E0"/>
    <w:rsid w:val="16824365"/>
    <w:rsid w:val="16B34B25"/>
    <w:rsid w:val="17282443"/>
    <w:rsid w:val="17BA1AFE"/>
    <w:rsid w:val="17E1613A"/>
    <w:rsid w:val="184A28F1"/>
    <w:rsid w:val="190C23A4"/>
    <w:rsid w:val="1A38081B"/>
    <w:rsid w:val="1A7F5B09"/>
    <w:rsid w:val="1BA668AF"/>
    <w:rsid w:val="1D027DA6"/>
    <w:rsid w:val="1D09129C"/>
    <w:rsid w:val="20482695"/>
    <w:rsid w:val="20AD7527"/>
    <w:rsid w:val="20C024E6"/>
    <w:rsid w:val="2331574F"/>
    <w:rsid w:val="23CB16FF"/>
    <w:rsid w:val="23D378BB"/>
    <w:rsid w:val="24A758E0"/>
    <w:rsid w:val="24DF6C29"/>
    <w:rsid w:val="25CA505E"/>
    <w:rsid w:val="25FD210B"/>
    <w:rsid w:val="26315635"/>
    <w:rsid w:val="268A4525"/>
    <w:rsid w:val="27957705"/>
    <w:rsid w:val="286213DE"/>
    <w:rsid w:val="2A1C211B"/>
    <w:rsid w:val="2B6B3358"/>
    <w:rsid w:val="2BB13721"/>
    <w:rsid w:val="2C0C2036"/>
    <w:rsid w:val="2C475970"/>
    <w:rsid w:val="2C5348C6"/>
    <w:rsid w:val="2DA069F7"/>
    <w:rsid w:val="2DBC0615"/>
    <w:rsid w:val="2DCB5AE1"/>
    <w:rsid w:val="2EF423F6"/>
    <w:rsid w:val="2FCF25FE"/>
    <w:rsid w:val="3047254D"/>
    <w:rsid w:val="309E19AA"/>
    <w:rsid w:val="30A04479"/>
    <w:rsid w:val="30A064A6"/>
    <w:rsid w:val="30CA01BA"/>
    <w:rsid w:val="30DE023D"/>
    <w:rsid w:val="30EC20E7"/>
    <w:rsid w:val="316D5522"/>
    <w:rsid w:val="317A6513"/>
    <w:rsid w:val="32F45EB1"/>
    <w:rsid w:val="348B717C"/>
    <w:rsid w:val="35037688"/>
    <w:rsid w:val="35610116"/>
    <w:rsid w:val="36A56302"/>
    <w:rsid w:val="378204E7"/>
    <w:rsid w:val="37F7493E"/>
    <w:rsid w:val="3845787B"/>
    <w:rsid w:val="38717AA1"/>
    <w:rsid w:val="38FC6028"/>
    <w:rsid w:val="390D7033"/>
    <w:rsid w:val="399520B5"/>
    <w:rsid w:val="39C20ECF"/>
    <w:rsid w:val="3BD45FAD"/>
    <w:rsid w:val="3CB20420"/>
    <w:rsid w:val="3D915310"/>
    <w:rsid w:val="3DB3310A"/>
    <w:rsid w:val="3DBA03C3"/>
    <w:rsid w:val="3FDF039F"/>
    <w:rsid w:val="402356C6"/>
    <w:rsid w:val="415C66C8"/>
    <w:rsid w:val="41DB5741"/>
    <w:rsid w:val="428E22BD"/>
    <w:rsid w:val="42AD67D2"/>
    <w:rsid w:val="43E70099"/>
    <w:rsid w:val="44D50C3A"/>
    <w:rsid w:val="44D965A5"/>
    <w:rsid w:val="45B75FEC"/>
    <w:rsid w:val="46316003"/>
    <w:rsid w:val="467E7FB4"/>
    <w:rsid w:val="46AF5176"/>
    <w:rsid w:val="4770614E"/>
    <w:rsid w:val="47861AFE"/>
    <w:rsid w:val="47EA6718"/>
    <w:rsid w:val="48A979B2"/>
    <w:rsid w:val="495B1666"/>
    <w:rsid w:val="49C37C21"/>
    <w:rsid w:val="4A123335"/>
    <w:rsid w:val="4A557B85"/>
    <w:rsid w:val="4A5B4CDC"/>
    <w:rsid w:val="4ABB1C1E"/>
    <w:rsid w:val="4AE72AAB"/>
    <w:rsid w:val="4BB714C5"/>
    <w:rsid w:val="4C4D0CCB"/>
    <w:rsid w:val="4CAE2034"/>
    <w:rsid w:val="4CD40998"/>
    <w:rsid w:val="4D0E2B60"/>
    <w:rsid w:val="4D506433"/>
    <w:rsid w:val="4DA1334D"/>
    <w:rsid w:val="4E522EA1"/>
    <w:rsid w:val="4E7D2F52"/>
    <w:rsid w:val="4E8A169B"/>
    <w:rsid w:val="4F075D72"/>
    <w:rsid w:val="4F2314C6"/>
    <w:rsid w:val="509A6C26"/>
    <w:rsid w:val="50E84DEF"/>
    <w:rsid w:val="5105122F"/>
    <w:rsid w:val="51A61200"/>
    <w:rsid w:val="51EC090F"/>
    <w:rsid w:val="52C61A02"/>
    <w:rsid w:val="52E6760E"/>
    <w:rsid w:val="53391E63"/>
    <w:rsid w:val="53F40AF8"/>
    <w:rsid w:val="5551379E"/>
    <w:rsid w:val="5752758B"/>
    <w:rsid w:val="579005FF"/>
    <w:rsid w:val="587C3DB2"/>
    <w:rsid w:val="588D6F55"/>
    <w:rsid w:val="58CC4980"/>
    <w:rsid w:val="58F661AA"/>
    <w:rsid w:val="5A1E05E5"/>
    <w:rsid w:val="5A5A56D2"/>
    <w:rsid w:val="5B951D5B"/>
    <w:rsid w:val="5BB07116"/>
    <w:rsid w:val="5CB12334"/>
    <w:rsid w:val="5D474315"/>
    <w:rsid w:val="5D767BBC"/>
    <w:rsid w:val="5EB60812"/>
    <w:rsid w:val="5EB72133"/>
    <w:rsid w:val="5F415FC1"/>
    <w:rsid w:val="5F9745B0"/>
    <w:rsid w:val="5FF72EE3"/>
    <w:rsid w:val="61A207F8"/>
    <w:rsid w:val="61B37CD9"/>
    <w:rsid w:val="636865E0"/>
    <w:rsid w:val="640B2DAF"/>
    <w:rsid w:val="64F57616"/>
    <w:rsid w:val="659C1CC7"/>
    <w:rsid w:val="65EB6D68"/>
    <w:rsid w:val="66B53877"/>
    <w:rsid w:val="684150B9"/>
    <w:rsid w:val="68E33322"/>
    <w:rsid w:val="691C0AA9"/>
    <w:rsid w:val="69B83107"/>
    <w:rsid w:val="6A0333FA"/>
    <w:rsid w:val="6A163AD8"/>
    <w:rsid w:val="6AE23D36"/>
    <w:rsid w:val="6B7D5BD7"/>
    <w:rsid w:val="6D5E0AFA"/>
    <w:rsid w:val="6EA45755"/>
    <w:rsid w:val="6EBD43BD"/>
    <w:rsid w:val="6F510AC5"/>
    <w:rsid w:val="6F601037"/>
    <w:rsid w:val="701E0CB0"/>
    <w:rsid w:val="70843B92"/>
    <w:rsid w:val="70866F1B"/>
    <w:rsid w:val="70C12509"/>
    <w:rsid w:val="714E1F54"/>
    <w:rsid w:val="72620A4E"/>
    <w:rsid w:val="730B34A3"/>
    <w:rsid w:val="74516EE2"/>
    <w:rsid w:val="74C723A3"/>
    <w:rsid w:val="75511952"/>
    <w:rsid w:val="755D54FC"/>
    <w:rsid w:val="75750B88"/>
    <w:rsid w:val="759C4277"/>
    <w:rsid w:val="76770437"/>
    <w:rsid w:val="76E41601"/>
    <w:rsid w:val="773F4EBA"/>
    <w:rsid w:val="77717B5A"/>
    <w:rsid w:val="78CF0D57"/>
    <w:rsid w:val="790E1E16"/>
    <w:rsid w:val="7AC750A5"/>
    <w:rsid w:val="7AE55D78"/>
    <w:rsid w:val="7B730141"/>
    <w:rsid w:val="7C507BA5"/>
    <w:rsid w:val="7C8131A8"/>
    <w:rsid w:val="7D3905FD"/>
    <w:rsid w:val="7DD01FAE"/>
    <w:rsid w:val="7E0E1A8A"/>
    <w:rsid w:val="7E5B31DA"/>
    <w:rsid w:val="7E80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4"/>
    <w:qFormat/>
    <w:uiPriority w:val="0"/>
    <w:pPr>
      <w:tabs>
        <w:tab w:val="left" w:pos="851"/>
      </w:tabs>
      <w:autoSpaceDE w:val="0"/>
      <w:autoSpaceDN w:val="0"/>
      <w:adjustRightInd w:val="0"/>
      <w:snapToGrid w:val="0"/>
      <w:spacing w:line="360" w:lineRule="auto"/>
      <w:outlineLvl w:val="2"/>
    </w:pPr>
    <w:rPr>
      <w:rFonts w:ascii="宋体" w:hAnsi="Tahom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jc w:val="left"/>
    </w:pPr>
    <w:rPr>
      <w:rFonts w:ascii="宋体" w:hAnsi="宋体" w:cs="宋体"/>
      <w:szCs w:val="20"/>
    </w:rPr>
  </w:style>
  <w:style w:type="paragraph" w:styleId="4">
    <w:name w:val="Normal Indent"/>
    <w:basedOn w:val="1"/>
    <w:qFormat/>
    <w:uiPriority w:val="0"/>
    <w:pPr>
      <w:ind w:firstLine="420"/>
    </w:pPr>
    <w:rPr>
      <w:rFonts w:ascii="Calibri" w:hAnsi="Calibri"/>
      <w:sz w:val="20"/>
    </w:rPr>
  </w:style>
  <w:style w:type="paragraph" w:styleId="5">
    <w:name w:val="annotation text"/>
    <w:basedOn w:val="1"/>
    <w:qFormat/>
    <w:uiPriority w:val="0"/>
    <w:pPr>
      <w:jc w:val="left"/>
    </w:pPr>
  </w:style>
  <w:style w:type="paragraph" w:styleId="6">
    <w:name w:val="Body Text"/>
    <w:basedOn w:val="1"/>
    <w:next w:val="1"/>
    <w:unhideWhenUsed/>
    <w:qFormat/>
    <w:uiPriority w:val="1"/>
    <w:rPr>
      <w:rFonts w:hint="eastAsia" w:ascii="PMingLiU" w:hAnsi="PMingLiU" w:eastAsia="PMingLiU"/>
      <w:sz w:val="36"/>
      <w:lang w:val="zh-CN" w:bidi="zh-CN"/>
    </w:rPr>
  </w:style>
  <w:style w:type="paragraph" w:styleId="7">
    <w:name w:val="Plain Text"/>
    <w:basedOn w:val="1"/>
    <w:qFormat/>
    <w:uiPriority w:val="0"/>
    <w:rPr>
      <w:rFonts w:ascii="宋体" w:hAnsi="Courier New"/>
      <w:sz w:val="20"/>
      <w:szCs w:val="21"/>
    </w:r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kern w:val="0"/>
      <w:sz w:val="24"/>
      <w:szCs w:val="24"/>
    </w:rPr>
  </w:style>
  <w:style w:type="paragraph" w:styleId="12">
    <w:name w:val="Body Text First Indent"/>
    <w:basedOn w:val="6"/>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annotation reference"/>
    <w:basedOn w:val="15"/>
    <w:qFormat/>
    <w:uiPriority w:val="0"/>
    <w:rPr>
      <w:sz w:val="21"/>
      <w:szCs w:val="21"/>
    </w:rPr>
  </w:style>
  <w:style w:type="paragraph" w:customStyle="1" w:styleId="18">
    <w:name w:val="列出段落1"/>
    <w:basedOn w:val="1"/>
    <w:qFormat/>
    <w:uiPriority w:val="34"/>
    <w:pPr>
      <w:ind w:firstLine="420" w:firstLineChars="200"/>
    </w:pPr>
  </w:style>
  <w:style w:type="paragraph" w:customStyle="1" w:styleId="19">
    <w:name w:val="Table Paragraph"/>
    <w:basedOn w:val="1"/>
    <w:qFormat/>
    <w:uiPriority w:val="1"/>
    <w:rPr>
      <w:rFonts w:ascii="宋体" w:hAnsi="宋体" w:cs="宋体"/>
      <w:lang w:val="zh-CN" w:bidi="zh-CN"/>
    </w:rPr>
  </w:style>
  <w:style w:type="character" w:customStyle="1" w:styleId="20">
    <w:name w:val="p141"/>
    <w:qFormat/>
    <w:uiPriority w:val="0"/>
    <w:rPr>
      <w:sz w:val="21"/>
      <w:szCs w:val="21"/>
    </w:rPr>
  </w:style>
  <w:style w:type="paragraph" w:customStyle="1" w:styleId="21">
    <w:name w:val="p-title"/>
    <w:basedOn w:val="1"/>
    <w:qFormat/>
    <w:uiPriority w:val="0"/>
    <w:pPr>
      <w:widowControl/>
      <w:spacing w:before="100" w:beforeAutospacing="1" w:after="100" w:afterAutospacing="1"/>
      <w:jc w:val="center"/>
    </w:pPr>
    <w:rPr>
      <w:rFonts w:ascii="宋体" w:hAnsi="宋体" w:cs="宋体"/>
      <w:kern w:val="0"/>
      <w:szCs w:val="24"/>
    </w:rPr>
  </w:style>
  <w:style w:type="paragraph" w:styleId="2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正文首行缩进1"/>
    <w:basedOn w:val="1"/>
    <w:qFormat/>
    <w:uiPriority w:val="0"/>
    <w:pPr>
      <w:jc w:val="center"/>
    </w:pPr>
  </w:style>
  <w:style w:type="paragraph" w:customStyle="1" w:styleId="24">
    <w:name w:val="1"/>
    <w:basedOn w:val="1"/>
    <w:next w:val="7"/>
    <w:qFormat/>
    <w:uiPriority w:val="0"/>
    <w:rPr>
      <w:rFonts w:ascii="宋体" w:hAnsi="Courier New"/>
    </w:rPr>
  </w:style>
  <w:style w:type="paragraph" w:customStyle="1" w:styleId="25">
    <w:name w:val="正文_9"/>
    <w:qFormat/>
    <w:uiPriority w:val="0"/>
    <w:rPr>
      <w:rFonts w:ascii="Times New Roman" w:hAnsi="Times New Roman" w:eastAsia="宋体" w:cs="Times New Roman"/>
      <w:sz w:val="21"/>
      <w:lang w:val="en-US" w:eastAsia="zh-CN" w:bidi="ar-SA"/>
    </w:rPr>
  </w:style>
  <w:style w:type="table" w:customStyle="1" w:styleId="26">
    <w:name w:val="网格型浅色1"/>
    <w:basedOn w:val="13"/>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character" w:customStyle="1" w:styleId="27">
    <w:name w:val="批注框文本 Char"/>
    <w:basedOn w:val="15"/>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17610</Words>
  <Characters>19135</Characters>
  <Lines>56</Lines>
  <Paragraphs>69</Paragraphs>
  <TotalTime>1</TotalTime>
  <ScaleCrop>false</ScaleCrop>
  <LinksUpToDate>false</LinksUpToDate>
  <CharactersWithSpaces>19661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2025-02-21T05:47:00Z</dcterms:created>
  <dc:creator>吴金丹</dc:creator>
  <cp:lastModifiedBy>杨富钱</cp:lastModifiedBy>
  <dcterms:modified xsi:type="dcterms:W3CDTF">2025-04-07T07:41:30Z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DE3DB9F40E8B4881B4B3AA49891581BD</vt:lpwstr>
  </property>
  <property fmtid="{D5CDD505-2E9C-101B-9397-08002B2CF9AE}" pid="4" name="KSOTemplateDocerSaveRecord">
    <vt:lpwstr>eyJoZGlkIjoiMzEwNTM5NzYwMDRjMzkwZTVkZjY2ODkwMGIxNGU0OTUiLCJ1c2VySWQiOiI0MTUxOTY2NDYifQ==</vt:lpwstr>
  </property>
</Properties>
</file>